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1DCC" w14:textId="6EBDD60B" w:rsidR="00467F47" w:rsidRPr="00863C39" w:rsidRDefault="000F610D" w:rsidP="00F00E83">
      <w:pPr>
        <w:jc w:val="center"/>
        <w:rPr>
          <w:b/>
          <w:bCs/>
          <w:u w:val="single"/>
        </w:rPr>
      </w:pPr>
      <w:r w:rsidRPr="00863C39">
        <w:rPr>
          <w:noProof/>
          <w:sz w:val="32"/>
          <w:szCs w:val="28"/>
          <w:u w:val="single"/>
        </w:rPr>
        <w:drawing>
          <wp:anchor distT="0" distB="0" distL="114300" distR="114300" simplePos="0" relativeHeight="251658752" behindDoc="0" locked="0" layoutInCell="1" allowOverlap="1" wp14:anchorId="0AD96DD2" wp14:editId="352973AD">
            <wp:simplePos x="0" y="0"/>
            <wp:positionH relativeFrom="column">
              <wp:posOffset>-424282</wp:posOffset>
            </wp:positionH>
            <wp:positionV relativeFrom="paragraph">
              <wp:posOffset>0</wp:posOffset>
            </wp:positionV>
            <wp:extent cx="1628775" cy="1047750"/>
            <wp:effectExtent l="0" t="0" r="9525" b="0"/>
            <wp:wrapTopAndBottom/>
            <wp:docPr id="158086257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62570"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28775" cy="1047750"/>
                    </a:xfrm>
                    <a:prstGeom prst="rect">
                      <a:avLst/>
                    </a:prstGeom>
                  </pic:spPr>
                </pic:pic>
              </a:graphicData>
            </a:graphic>
          </wp:anchor>
        </w:drawing>
      </w:r>
      <w:r w:rsidRPr="00863C39">
        <w:rPr>
          <w:b/>
          <w:bCs/>
          <w:sz w:val="32"/>
          <w:szCs w:val="28"/>
          <w:u w:val="single"/>
        </w:rPr>
        <w:t>Statutory Notice</w:t>
      </w:r>
    </w:p>
    <w:p w14:paraId="606086E9" w14:textId="024E8F6A" w:rsidR="000F610D" w:rsidRPr="00E60779" w:rsidRDefault="00484AD4" w:rsidP="00F00E83">
      <w:pPr>
        <w:jc w:val="both"/>
        <w:rPr>
          <w:b/>
          <w:bCs/>
          <w:sz w:val="28"/>
          <w:szCs w:val="24"/>
        </w:rPr>
      </w:pPr>
      <w:r>
        <w:rPr>
          <w:b/>
          <w:bCs/>
          <w:sz w:val="28"/>
          <w:szCs w:val="24"/>
        </w:rPr>
        <w:t xml:space="preserve">Full Statutory </w:t>
      </w:r>
      <w:r w:rsidR="000F610D" w:rsidRPr="00E60779">
        <w:rPr>
          <w:b/>
          <w:bCs/>
          <w:sz w:val="28"/>
          <w:szCs w:val="24"/>
        </w:rPr>
        <w:t xml:space="preserve">Proposal to expand the Highshore School </w:t>
      </w:r>
      <w:r w:rsidR="0041272E">
        <w:rPr>
          <w:b/>
          <w:bCs/>
          <w:sz w:val="28"/>
          <w:szCs w:val="24"/>
        </w:rPr>
        <w:t>i</w:t>
      </w:r>
      <w:r w:rsidR="0041272E" w:rsidRPr="00E60779">
        <w:rPr>
          <w:b/>
          <w:bCs/>
          <w:sz w:val="28"/>
          <w:szCs w:val="24"/>
        </w:rPr>
        <w:t>nto</w:t>
      </w:r>
      <w:r w:rsidR="00863C39" w:rsidRPr="00E60779">
        <w:rPr>
          <w:b/>
          <w:bCs/>
          <w:sz w:val="28"/>
          <w:szCs w:val="24"/>
        </w:rPr>
        <w:t xml:space="preserve"> a satellite provision</w:t>
      </w:r>
      <w:r w:rsidR="000C0B05">
        <w:rPr>
          <w:b/>
          <w:bCs/>
          <w:sz w:val="28"/>
          <w:szCs w:val="24"/>
        </w:rPr>
        <w:t xml:space="preserve">, </w:t>
      </w:r>
      <w:r w:rsidR="00D1768A" w:rsidRPr="00D1768A">
        <w:rPr>
          <w:b/>
          <w:bCs/>
          <w:sz w:val="28"/>
          <w:szCs w:val="24"/>
        </w:rPr>
        <w:t>that will occupy the whole</w:t>
      </w:r>
      <w:r w:rsidR="00D1768A" w:rsidRPr="00D1768A">
        <w:rPr>
          <w:b/>
          <w:bCs/>
          <w:sz w:val="28"/>
          <w:szCs w:val="24"/>
        </w:rPr>
        <w:t xml:space="preserve"> </w:t>
      </w:r>
      <w:r w:rsidR="00D1768A">
        <w:rPr>
          <w:b/>
          <w:bCs/>
          <w:sz w:val="28"/>
          <w:szCs w:val="24"/>
        </w:rPr>
        <w:t>of</w:t>
      </w:r>
      <w:r w:rsidR="00863C39" w:rsidRPr="00E60779">
        <w:rPr>
          <w:b/>
          <w:bCs/>
          <w:sz w:val="28"/>
          <w:szCs w:val="24"/>
        </w:rPr>
        <w:t xml:space="preserve"> the recently closed Comber Grove Primary School site.</w:t>
      </w:r>
    </w:p>
    <w:p w14:paraId="5FA00C7F" w14:textId="2667F271" w:rsidR="002F0AE4" w:rsidRPr="009E4892" w:rsidRDefault="002F0AE4" w:rsidP="00F00E83">
      <w:pPr>
        <w:jc w:val="both"/>
        <w:rPr>
          <w:b/>
          <w:bCs/>
        </w:rPr>
      </w:pPr>
      <w:r w:rsidRPr="009E4892">
        <w:rPr>
          <w:b/>
          <w:bCs/>
        </w:rPr>
        <w:t>1. Contact details (name and address of the proposer):</w:t>
      </w:r>
    </w:p>
    <w:p w14:paraId="509F0D0A" w14:textId="2C73D0E2" w:rsidR="002F0AE4" w:rsidRDefault="002F0AE4" w:rsidP="00F00E83">
      <w:pPr>
        <w:spacing w:after="0"/>
        <w:jc w:val="both"/>
      </w:pPr>
      <w:r>
        <w:t>Southwark Council</w:t>
      </w:r>
    </w:p>
    <w:p w14:paraId="0E716BEB" w14:textId="2FC73C70" w:rsidR="00FA5C36" w:rsidRDefault="00FA5C36" w:rsidP="00F00E83">
      <w:pPr>
        <w:spacing w:after="0"/>
        <w:jc w:val="both"/>
      </w:pPr>
      <w:r>
        <w:t>160 Tooley Street</w:t>
      </w:r>
    </w:p>
    <w:p w14:paraId="10586D04" w14:textId="54AFEB62" w:rsidR="00FA5C36" w:rsidRDefault="00FA5C36" w:rsidP="00F00E83">
      <w:pPr>
        <w:spacing w:after="0"/>
        <w:jc w:val="both"/>
      </w:pPr>
      <w:r>
        <w:t xml:space="preserve">London </w:t>
      </w:r>
    </w:p>
    <w:p w14:paraId="422F1964" w14:textId="077A6758" w:rsidR="00FA5C36" w:rsidRDefault="00FA5C36" w:rsidP="00F00E83">
      <w:pPr>
        <w:spacing w:after="0"/>
        <w:jc w:val="both"/>
      </w:pPr>
      <w:r>
        <w:t>SE1 2TZ</w:t>
      </w:r>
    </w:p>
    <w:p w14:paraId="5F57D45D" w14:textId="3A04086D" w:rsidR="00FA5C36" w:rsidRDefault="00FA5C36" w:rsidP="00F00E83">
      <w:pPr>
        <w:spacing w:after="0"/>
        <w:jc w:val="both"/>
      </w:pPr>
      <w:r>
        <w:t>Tel: 0207 525 5000</w:t>
      </w:r>
    </w:p>
    <w:p w14:paraId="48429B2E" w14:textId="41627F91" w:rsidR="00FA5C36" w:rsidRDefault="00FA5C36" w:rsidP="00F00E83">
      <w:pPr>
        <w:spacing w:after="0"/>
        <w:jc w:val="both"/>
      </w:pPr>
      <w:r>
        <w:t xml:space="preserve">Email: </w:t>
      </w:r>
      <w:hyperlink r:id="rId8" w:history="1">
        <w:r w:rsidR="00FB070D" w:rsidRPr="007E70F1">
          <w:rPr>
            <w:rStyle w:val="Hyperlink"/>
          </w:rPr>
          <w:t>schoolcapitalprojects@southwark.gov.uk</w:t>
        </w:r>
      </w:hyperlink>
    </w:p>
    <w:p w14:paraId="7C82C25B" w14:textId="7F44F0A4" w:rsidR="00FB070D" w:rsidRPr="009E4892" w:rsidRDefault="00A66C5C" w:rsidP="00F00E83">
      <w:pPr>
        <w:spacing w:before="240"/>
        <w:jc w:val="both"/>
        <w:rPr>
          <w:b/>
          <w:bCs/>
        </w:rPr>
      </w:pPr>
      <w:r w:rsidRPr="009E4892">
        <w:rPr>
          <w:b/>
          <w:bCs/>
        </w:rPr>
        <w:t>1a. Name, address and category of school proposed for expansion</w:t>
      </w:r>
    </w:p>
    <w:p w14:paraId="6F6C3089" w14:textId="46F33A8C" w:rsidR="00A66C5C" w:rsidRDefault="00A66C5C" w:rsidP="00F00E83">
      <w:pPr>
        <w:spacing w:after="0"/>
        <w:jc w:val="both"/>
      </w:pPr>
      <w:r>
        <w:t>Highshore School (</w:t>
      </w:r>
      <w:r w:rsidR="00A305E1">
        <w:t>Community special school)</w:t>
      </w:r>
    </w:p>
    <w:p w14:paraId="0AB0FBD0" w14:textId="637AF013" w:rsidR="00A305E1" w:rsidRDefault="00A305E1" w:rsidP="00F00E83">
      <w:pPr>
        <w:spacing w:after="0"/>
        <w:jc w:val="both"/>
      </w:pPr>
      <w:r>
        <w:t xml:space="preserve">135 Farmer Road, </w:t>
      </w:r>
    </w:p>
    <w:p w14:paraId="43C80521" w14:textId="77777777" w:rsidR="000D6014" w:rsidRDefault="00A305E1" w:rsidP="00F00E83">
      <w:pPr>
        <w:spacing w:after="0"/>
        <w:jc w:val="both"/>
      </w:pPr>
      <w:r>
        <w:t xml:space="preserve">London </w:t>
      </w:r>
    </w:p>
    <w:p w14:paraId="355829AB" w14:textId="3E3CF677" w:rsidR="00A305E1" w:rsidRDefault="00A305E1" w:rsidP="00F00E83">
      <w:pPr>
        <w:spacing w:after="0"/>
        <w:jc w:val="both"/>
      </w:pPr>
      <w:r>
        <w:t>SE5 0TW</w:t>
      </w:r>
    </w:p>
    <w:p w14:paraId="30D34199" w14:textId="7CF1BCE9" w:rsidR="000D6014" w:rsidRDefault="000D6014" w:rsidP="00F00E83">
      <w:pPr>
        <w:spacing w:after="0"/>
        <w:jc w:val="both"/>
      </w:pPr>
      <w:r>
        <w:t>Tel:</w:t>
      </w:r>
      <w:r w:rsidRPr="000D6014">
        <w:rPr>
          <w:rFonts w:cs="Arial"/>
          <w:color w:val="0B0C0C"/>
          <w:sz w:val="29"/>
          <w:szCs w:val="29"/>
          <w:shd w:val="clear" w:color="auto" w:fill="FFFFFF"/>
        </w:rPr>
        <w:t xml:space="preserve"> </w:t>
      </w:r>
      <w:r w:rsidRPr="000D6014">
        <w:t>0207</w:t>
      </w:r>
      <w:r>
        <w:t xml:space="preserve"> </w:t>
      </w:r>
      <w:r w:rsidRPr="000D6014">
        <w:t>708</w:t>
      </w:r>
      <w:r>
        <w:t xml:space="preserve"> </w:t>
      </w:r>
      <w:r w:rsidRPr="000D6014">
        <w:t>6790</w:t>
      </w:r>
    </w:p>
    <w:p w14:paraId="45134915" w14:textId="5BBFD71C" w:rsidR="000D6014" w:rsidRDefault="000D6014" w:rsidP="00F00E83">
      <w:pPr>
        <w:spacing w:after="0"/>
        <w:jc w:val="both"/>
      </w:pPr>
      <w:r>
        <w:t xml:space="preserve">Email: </w:t>
      </w:r>
      <w:hyperlink r:id="rId9" w:tooltip="Contact office@highshore.southwark.sch.uk" w:history="1">
        <w:r w:rsidR="009E4892" w:rsidRPr="009E4892">
          <w:rPr>
            <w:rStyle w:val="Hyperlink"/>
          </w:rPr>
          <w:t>office@highshore.southwark.sch.uk</w:t>
        </w:r>
      </w:hyperlink>
    </w:p>
    <w:p w14:paraId="5FE51C9B" w14:textId="77777777" w:rsidR="00553EFF" w:rsidRDefault="00553EFF" w:rsidP="00F00E83">
      <w:pPr>
        <w:spacing w:after="0"/>
        <w:jc w:val="both"/>
      </w:pPr>
    </w:p>
    <w:p w14:paraId="27C8B710" w14:textId="192D02DE" w:rsidR="00553EFF" w:rsidRDefault="00553EFF" w:rsidP="00F00E83">
      <w:pPr>
        <w:spacing w:after="0"/>
        <w:jc w:val="both"/>
        <w:rPr>
          <w:b/>
          <w:bCs/>
        </w:rPr>
      </w:pPr>
      <w:r w:rsidRPr="00553EFF">
        <w:rPr>
          <w:b/>
          <w:bCs/>
        </w:rPr>
        <w:t>1b. Address of the proposed expansion satellite site</w:t>
      </w:r>
    </w:p>
    <w:p w14:paraId="49AA6FB4" w14:textId="537F6779" w:rsidR="00553EFF" w:rsidRPr="007B4853" w:rsidRDefault="00553EFF" w:rsidP="00F00E83">
      <w:pPr>
        <w:spacing w:before="240" w:after="0"/>
        <w:jc w:val="both"/>
      </w:pPr>
      <w:r w:rsidRPr="007B4853">
        <w:t>Former Comber Grove School</w:t>
      </w:r>
    </w:p>
    <w:p w14:paraId="0714A286" w14:textId="22DECC86" w:rsidR="007B4853" w:rsidRPr="007B4853" w:rsidRDefault="007B4853" w:rsidP="00F00E83">
      <w:pPr>
        <w:spacing w:after="0"/>
        <w:jc w:val="both"/>
      </w:pPr>
      <w:r w:rsidRPr="007B4853">
        <w:t>Comber Grove</w:t>
      </w:r>
    </w:p>
    <w:p w14:paraId="67B6A75C" w14:textId="72210FBC" w:rsidR="007B4853" w:rsidRPr="007B4853" w:rsidRDefault="007B4853" w:rsidP="00F00E83">
      <w:pPr>
        <w:spacing w:after="0"/>
        <w:jc w:val="both"/>
      </w:pPr>
      <w:r w:rsidRPr="007B4853">
        <w:t>London</w:t>
      </w:r>
    </w:p>
    <w:p w14:paraId="485A5DA1" w14:textId="5525623E" w:rsidR="007B4853" w:rsidRPr="007B4853" w:rsidRDefault="007B4853" w:rsidP="00F00E83">
      <w:pPr>
        <w:spacing w:after="0"/>
        <w:jc w:val="both"/>
      </w:pPr>
      <w:r w:rsidRPr="007B4853">
        <w:t>SE5 0LQ</w:t>
      </w:r>
    </w:p>
    <w:p w14:paraId="1BEA2397" w14:textId="694FD9D5" w:rsidR="00A305E1" w:rsidRDefault="009E4892" w:rsidP="00F00E83">
      <w:pPr>
        <w:spacing w:before="240" w:after="0"/>
        <w:jc w:val="both"/>
        <w:rPr>
          <w:b/>
          <w:bCs/>
        </w:rPr>
      </w:pPr>
      <w:r w:rsidRPr="009E4892">
        <w:rPr>
          <w:b/>
          <w:bCs/>
        </w:rPr>
        <w:t xml:space="preserve">2. </w:t>
      </w:r>
      <w:r w:rsidR="00553EFF">
        <w:rPr>
          <w:b/>
          <w:bCs/>
        </w:rPr>
        <w:t>The proposal</w:t>
      </w:r>
    </w:p>
    <w:p w14:paraId="767A5549" w14:textId="121C4419" w:rsidR="009E4892" w:rsidRPr="009E4892" w:rsidRDefault="009E4892" w:rsidP="00F00E83">
      <w:pPr>
        <w:spacing w:before="240" w:after="0"/>
        <w:jc w:val="both"/>
        <w:rPr>
          <w:b/>
          <w:bCs/>
        </w:rPr>
      </w:pPr>
      <w:r w:rsidRPr="009E4892">
        <w:rPr>
          <w:b/>
          <w:bCs/>
        </w:rPr>
        <w:t>Date on which it is proposed to expand the school: 1 September 2026</w:t>
      </w:r>
    </w:p>
    <w:p w14:paraId="41A45C31" w14:textId="07A6E0B6" w:rsidR="00E60779" w:rsidRDefault="009E4892" w:rsidP="00F00E83">
      <w:pPr>
        <w:spacing w:before="240"/>
        <w:jc w:val="both"/>
      </w:pPr>
      <w:r>
        <w:t>It is proposed to</w:t>
      </w:r>
      <w:r w:rsidR="008D37F5">
        <w:t xml:space="preserve"> expand the Highshore School </w:t>
      </w:r>
      <w:r w:rsidR="0041272E">
        <w:t>into</w:t>
      </w:r>
      <w:r w:rsidR="008D37F5">
        <w:t xml:space="preserve"> a satellite provision</w:t>
      </w:r>
      <w:r w:rsidR="00842CF7">
        <w:t>, that will occupy the whole of</w:t>
      </w:r>
      <w:r w:rsidR="008D37F5">
        <w:t xml:space="preserve"> the recently closed Comber Grove Primary School</w:t>
      </w:r>
      <w:r w:rsidR="005A5286">
        <w:t xml:space="preserve"> from a provisional date of September 2026.</w:t>
      </w:r>
    </w:p>
    <w:p w14:paraId="3170069D" w14:textId="62CC4DF0" w:rsidR="00AE6FE9" w:rsidRDefault="0041272E" w:rsidP="00F00E83">
      <w:pPr>
        <w:jc w:val="both"/>
      </w:pPr>
      <w:r>
        <w:t>These proposals would see:</w:t>
      </w:r>
    </w:p>
    <w:p w14:paraId="480BD215" w14:textId="7E9E0388" w:rsidR="00E055A5" w:rsidRDefault="00E055A5" w:rsidP="00F00E83">
      <w:pPr>
        <w:pStyle w:val="ListParagraph"/>
        <w:numPr>
          <w:ilvl w:val="0"/>
          <w:numId w:val="1"/>
        </w:numPr>
        <w:jc w:val="both"/>
      </w:pPr>
      <w:r>
        <w:t xml:space="preserve">The expansion of the Highshore </w:t>
      </w:r>
      <w:r w:rsidR="008546EF">
        <w:t>S</w:t>
      </w:r>
      <w:r>
        <w:t>chool to a two-site specialist provision.</w:t>
      </w:r>
    </w:p>
    <w:p w14:paraId="18B77630" w14:textId="3A1509B3" w:rsidR="0041272E" w:rsidRDefault="0041272E" w:rsidP="00F00E83">
      <w:pPr>
        <w:pStyle w:val="ListParagraph"/>
        <w:numPr>
          <w:ilvl w:val="0"/>
          <w:numId w:val="1"/>
        </w:numPr>
        <w:jc w:val="both"/>
      </w:pPr>
      <w:r>
        <w:t xml:space="preserve">The creation of </w:t>
      </w:r>
      <w:r w:rsidR="00E055A5">
        <w:t>approximately 60-70 new specialist places for pupils at Highshore school.</w:t>
      </w:r>
    </w:p>
    <w:p w14:paraId="64EC1346" w14:textId="5421F7A3" w:rsidR="00E055A5" w:rsidRDefault="00E055A5" w:rsidP="00F00E83">
      <w:pPr>
        <w:pStyle w:val="ListParagraph"/>
        <w:numPr>
          <w:ilvl w:val="0"/>
          <w:numId w:val="1"/>
        </w:numPr>
        <w:jc w:val="both"/>
      </w:pPr>
      <w:r>
        <w:t>Investment into the renovation and refurbishment of the Comber Grove school buildings and site to meet the needs of Highshore school pupils.</w:t>
      </w:r>
    </w:p>
    <w:p w14:paraId="23E8E76F" w14:textId="0E9EB07B" w:rsidR="00EC135C" w:rsidRDefault="00EC135C" w:rsidP="00F00E83">
      <w:pPr>
        <w:pStyle w:val="ListParagraph"/>
        <w:numPr>
          <w:ilvl w:val="0"/>
          <w:numId w:val="1"/>
        </w:numPr>
        <w:jc w:val="both"/>
      </w:pPr>
      <w:r>
        <w:t>More local specialist places meaning more parental choice.</w:t>
      </w:r>
    </w:p>
    <w:p w14:paraId="3662A860" w14:textId="5FAD5AD2" w:rsidR="00B95B40" w:rsidRDefault="00B95B40" w:rsidP="00F00E83">
      <w:pPr>
        <w:widowControl w:val="0"/>
        <w:spacing w:after="0" w:line="240" w:lineRule="auto"/>
        <w:ind w:right="256"/>
        <w:jc w:val="both"/>
        <w:rPr>
          <w:rFonts w:cs="Arial"/>
          <w:spacing w:val="-3"/>
        </w:rPr>
      </w:pPr>
      <w:r>
        <w:rPr>
          <w:rFonts w:cs="Arial"/>
          <w:spacing w:val="-3"/>
        </w:rPr>
        <w:lastRenderedPageBreak/>
        <w:t>D</w:t>
      </w:r>
      <w:r w:rsidRPr="00AF3271">
        <w:rPr>
          <w:rFonts w:cs="Arial"/>
          <w:spacing w:val="-3"/>
        </w:rPr>
        <w:t>ifferent options for how the new site could be designed for pupils</w:t>
      </w:r>
      <w:r>
        <w:rPr>
          <w:rFonts w:cs="Arial"/>
          <w:spacing w:val="-3"/>
        </w:rPr>
        <w:t xml:space="preserve"> include</w:t>
      </w:r>
      <w:r w:rsidRPr="00AF3271">
        <w:rPr>
          <w:rFonts w:cs="Arial"/>
          <w:spacing w:val="-3"/>
        </w:rPr>
        <w:t>:</w:t>
      </w:r>
    </w:p>
    <w:p w14:paraId="01E23E20" w14:textId="77777777" w:rsidR="00B95B40" w:rsidRPr="00AF3271" w:rsidRDefault="00B95B40" w:rsidP="00F00E83">
      <w:pPr>
        <w:widowControl w:val="0"/>
        <w:spacing w:after="0" w:line="240" w:lineRule="auto"/>
        <w:ind w:right="256"/>
        <w:jc w:val="both"/>
        <w:rPr>
          <w:rFonts w:cs="Arial"/>
          <w:spacing w:val="-3"/>
        </w:rPr>
      </w:pPr>
    </w:p>
    <w:p w14:paraId="5F75FD88" w14:textId="77777777" w:rsidR="00AF3271" w:rsidRPr="00AF3271" w:rsidRDefault="00AF3271" w:rsidP="00F00E83">
      <w:pPr>
        <w:widowControl w:val="0"/>
        <w:numPr>
          <w:ilvl w:val="0"/>
          <w:numId w:val="4"/>
        </w:numPr>
        <w:spacing w:after="0" w:line="240" w:lineRule="auto"/>
        <w:ind w:right="256"/>
        <w:jc w:val="both"/>
        <w:rPr>
          <w:rFonts w:cs="Arial"/>
          <w:spacing w:val="-3"/>
        </w:rPr>
      </w:pPr>
      <w:r w:rsidRPr="00AF3271">
        <w:rPr>
          <w:rFonts w:cs="Arial"/>
          <w:spacing w:val="-3"/>
        </w:rPr>
        <w:t xml:space="preserve">As a </w:t>
      </w:r>
      <w:r w:rsidRPr="00AF3271">
        <w:rPr>
          <w:rFonts w:cs="Arial"/>
          <w:b/>
          <w:bCs/>
          <w:spacing w:val="-3"/>
        </w:rPr>
        <w:t xml:space="preserve">Dedicated Post 16 Provision </w:t>
      </w:r>
      <w:r w:rsidRPr="00AF3271">
        <w:rPr>
          <w:rFonts w:cs="Arial"/>
          <w:spacing w:val="-3"/>
        </w:rPr>
        <w:t>– This would be establishing a dedicated site specifically for all the school’s post-16 pupils, incorporating specialised facilities and accessibility features.  This would mean relocating existing 6</w:t>
      </w:r>
      <w:r w:rsidRPr="00AF3271">
        <w:rPr>
          <w:rFonts w:cs="Arial"/>
          <w:spacing w:val="-3"/>
          <w:vertAlign w:val="superscript"/>
        </w:rPr>
        <w:t>th</w:t>
      </w:r>
      <w:r w:rsidRPr="00AF3271">
        <w:rPr>
          <w:rFonts w:cs="Arial"/>
          <w:spacing w:val="-3"/>
        </w:rPr>
        <w:t xml:space="preserve"> form classes from the main Highshore site to the new school, creating more Key Stage 3 &amp; 4 spaces at the existing site and increasing the number of 6</w:t>
      </w:r>
      <w:r w:rsidRPr="00AF3271">
        <w:rPr>
          <w:rFonts w:cs="Arial"/>
          <w:spacing w:val="-3"/>
          <w:vertAlign w:val="superscript"/>
        </w:rPr>
        <w:t>th</w:t>
      </w:r>
      <w:r w:rsidRPr="00AF3271">
        <w:rPr>
          <w:rFonts w:cs="Arial"/>
          <w:spacing w:val="-3"/>
        </w:rPr>
        <w:t xml:space="preserve"> form places in the new site. </w:t>
      </w:r>
    </w:p>
    <w:p w14:paraId="4C8C352E" w14:textId="77777777" w:rsidR="00B95B40" w:rsidRPr="00AF3271" w:rsidRDefault="00B95B40" w:rsidP="00F00E83">
      <w:pPr>
        <w:widowControl w:val="0"/>
        <w:spacing w:after="0" w:line="240" w:lineRule="auto"/>
        <w:ind w:right="256"/>
        <w:jc w:val="both"/>
        <w:rPr>
          <w:rFonts w:cs="Arial"/>
          <w:spacing w:val="-3"/>
        </w:rPr>
      </w:pPr>
      <w:r w:rsidRPr="00AF3271">
        <w:rPr>
          <w:rFonts w:cs="Arial"/>
          <w:spacing w:val="-3"/>
        </w:rPr>
        <w:t xml:space="preserve"> </w:t>
      </w:r>
    </w:p>
    <w:p w14:paraId="39E11056" w14:textId="77777777" w:rsidR="00AF3271" w:rsidRPr="00AF3271" w:rsidRDefault="00AF3271" w:rsidP="00F00E83">
      <w:pPr>
        <w:widowControl w:val="0"/>
        <w:numPr>
          <w:ilvl w:val="0"/>
          <w:numId w:val="5"/>
        </w:numPr>
        <w:spacing w:after="0" w:line="240" w:lineRule="auto"/>
        <w:ind w:right="256"/>
        <w:jc w:val="both"/>
        <w:rPr>
          <w:rFonts w:cs="Arial"/>
          <w:spacing w:val="-3"/>
        </w:rPr>
      </w:pPr>
      <w:r w:rsidRPr="00AF3271">
        <w:rPr>
          <w:rFonts w:cs="Arial"/>
          <w:spacing w:val="-3"/>
        </w:rPr>
        <w:t xml:space="preserve">As an </w:t>
      </w:r>
      <w:r w:rsidRPr="00AF3271">
        <w:rPr>
          <w:rFonts w:cs="Arial"/>
          <w:b/>
          <w:bCs/>
          <w:spacing w:val="-3"/>
        </w:rPr>
        <w:t xml:space="preserve">integrated Secondary and Post 16 Space </w:t>
      </w:r>
      <w:r w:rsidRPr="00AF3271">
        <w:rPr>
          <w:rFonts w:cs="Arial"/>
          <w:spacing w:val="-3"/>
        </w:rPr>
        <w:t xml:space="preserve">– This would create a flexible space that can support both Secondary and post 16 pupils, allowing for shared resources and facilities. This might mean that rather than using the two sites for different age groups, instead they would be being used to support groups of children with different types of needs.  This would mean the two buildings might have slightly different designs so that the arrangements are more focussed on children’s specific needs. </w:t>
      </w:r>
    </w:p>
    <w:p w14:paraId="4CF7F317" w14:textId="77777777" w:rsidR="00B95B40" w:rsidRDefault="00B95B40" w:rsidP="00F00E83">
      <w:pPr>
        <w:widowControl w:val="0"/>
        <w:spacing w:after="0" w:line="240" w:lineRule="auto"/>
        <w:ind w:right="256"/>
        <w:jc w:val="both"/>
        <w:rPr>
          <w:rFonts w:cs="Arial"/>
          <w:spacing w:val="-3"/>
        </w:rPr>
      </w:pPr>
    </w:p>
    <w:p w14:paraId="5F358EC6" w14:textId="6D92571A" w:rsidR="00B95B40" w:rsidRPr="00AF3271" w:rsidRDefault="00B95B40" w:rsidP="00F00E83">
      <w:pPr>
        <w:widowControl w:val="0"/>
        <w:spacing w:after="0" w:line="240" w:lineRule="auto"/>
        <w:ind w:right="256"/>
        <w:jc w:val="both"/>
        <w:rPr>
          <w:rFonts w:cs="Arial"/>
          <w:spacing w:val="-3"/>
        </w:rPr>
      </w:pPr>
      <w:r w:rsidRPr="00AF3271">
        <w:rPr>
          <w:rFonts w:cs="Arial"/>
          <w:spacing w:val="-3"/>
        </w:rPr>
        <w:t xml:space="preserve">Overall, on both options would create </w:t>
      </w:r>
      <w:r>
        <w:rPr>
          <w:rFonts w:cs="Arial"/>
          <w:spacing w:val="-3"/>
        </w:rPr>
        <w:t>the approximately</w:t>
      </w:r>
      <w:r w:rsidRPr="00AF3271">
        <w:rPr>
          <w:rFonts w:cs="Arial"/>
          <w:spacing w:val="-3"/>
        </w:rPr>
        <w:t xml:space="preserve"> 6</w:t>
      </w:r>
      <w:r>
        <w:rPr>
          <w:rFonts w:cs="Arial"/>
          <w:spacing w:val="-3"/>
        </w:rPr>
        <w:t>0</w:t>
      </w:r>
      <w:r w:rsidRPr="00AF3271">
        <w:rPr>
          <w:rFonts w:cs="Arial"/>
          <w:spacing w:val="-3"/>
        </w:rPr>
        <w:t xml:space="preserve"> – 70 new specialist places across all key stages</w:t>
      </w:r>
      <w:r w:rsidR="00511D80">
        <w:rPr>
          <w:rFonts w:cs="Arial"/>
          <w:spacing w:val="-3"/>
        </w:rPr>
        <w:t>, and these are subject to consultation with the community on these proposals.</w:t>
      </w:r>
    </w:p>
    <w:p w14:paraId="2B3CD8CD" w14:textId="77777777" w:rsidR="00B95B40" w:rsidRDefault="00B95B40" w:rsidP="00F00E83">
      <w:pPr>
        <w:jc w:val="both"/>
        <w:rPr>
          <w:b/>
          <w:bCs/>
        </w:rPr>
      </w:pPr>
    </w:p>
    <w:p w14:paraId="2A65FD8B" w14:textId="27F63430" w:rsidR="00FA75E2" w:rsidRPr="00FA75E2" w:rsidRDefault="00FA75E2" w:rsidP="00F00E83">
      <w:pPr>
        <w:jc w:val="both"/>
        <w:rPr>
          <w:b/>
          <w:bCs/>
        </w:rPr>
      </w:pPr>
      <w:r w:rsidRPr="00FA75E2">
        <w:rPr>
          <w:b/>
          <w:bCs/>
        </w:rPr>
        <w:t xml:space="preserve">3. </w:t>
      </w:r>
      <w:r>
        <w:rPr>
          <w:b/>
          <w:bCs/>
        </w:rPr>
        <w:t>Rationale</w:t>
      </w:r>
    </w:p>
    <w:p w14:paraId="5737E245" w14:textId="40CE144B" w:rsidR="00CF7CD9" w:rsidRPr="008D0034" w:rsidRDefault="00CF7CD9" w:rsidP="00F00E83">
      <w:pPr>
        <w:pStyle w:val="BodyTextIndent"/>
        <w:ind w:left="0" w:right="256"/>
        <w:jc w:val="both"/>
        <w:rPr>
          <w:rFonts w:cs="Arial"/>
          <w:b w:val="0"/>
          <w:bCs/>
          <w:sz w:val="28"/>
          <w:szCs w:val="28"/>
        </w:rPr>
      </w:pPr>
      <w:r>
        <w:rPr>
          <w:rFonts w:eastAsiaTheme="minorHAnsi" w:cs="Arial"/>
          <w:b w:val="0"/>
          <w:bCs/>
          <w:sz w:val="24"/>
          <w:szCs w:val="22"/>
        </w:rPr>
        <w:t>T</w:t>
      </w:r>
      <w:r w:rsidRPr="008D0034">
        <w:rPr>
          <w:rFonts w:eastAsiaTheme="minorHAnsi" w:cs="Arial"/>
          <w:b w:val="0"/>
          <w:bCs/>
          <w:sz w:val="24"/>
          <w:szCs w:val="22"/>
        </w:rPr>
        <w:t xml:space="preserve">he council </w:t>
      </w:r>
      <w:r>
        <w:rPr>
          <w:rFonts w:eastAsiaTheme="minorHAnsi" w:cs="Arial"/>
          <w:b w:val="0"/>
          <w:bCs/>
          <w:sz w:val="24"/>
          <w:szCs w:val="22"/>
        </w:rPr>
        <w:t>is</w:t>
      </w:r>
      <w:r w:rsidRPr="008D0034">
        <w:rPr>
          <w:rFonts w:eastAsiaTheme="minorHAnsi" w:cs="Arial"/>
          <w:b w:val="0"/>
          <w:bCs/>
          <w:sz w:val="24"/>
          <w:szCs w:val="22"/>
        </w:rPr>
        <w:t xml:space="preserve"> committed to supporting, where possible, permanent expansions and the development of our existing high-quality provision where viable rather than the creation of new schools. Building on existing strong relationships of our schools with the authority and the community.  With all of Southwark’s special secondary schools rated good or outstanding by Ofsted and consistently identified as having strong and committed leadership, the opportunities to expand further and develop more local need is clear.</w:t>
      </w:r>
    </w:p>
    <w:p w14:paraId="06A5A594" w14:textId="77777777" w:rsidR="00CF7CD9" w:rsidRDefault="00CF7CD9" w:rsidP="00F00E83">
      <w:pPr>
        <w:pStyle w:val="BodyTextIndent"/>
        <w:ind w:left="0" w:right="256"/>
        <w:jc w:val="both"/>
        <w:rPr>
          <w:rFonts w:eastAsiaTheme="minorHAnsi" w:cs="Arial"/>
          <w:b w:val="0"/>
          <w:bCs/>
          <w:sz w:val="24"/>
          <w:szCs w:val="22"/>
        </w:rPr>
      </w:pPr>
    </w:p>
    <w:p w14:paraId="4000463C" w14:textId="655846EC" w:rsidR="00CF7CD9" w:rsidRPr="008D0034" w:rsidRDefault="00CF7CD9" w:rsidP="00F00E83">
      <w:pPr>
        <w:pStyle w:val="BodyTextIndent"/>
        <w:ind w:left="0" w:right="256"/>
        <w:jc w:val="both"/>
        <w:rPr>
          <w:rFonts w:cs="Arial"/>
          <w:b w:val="0"/>
          <w:bCs/>
          <w:sz w:val="28"/>
          <w:szCs w:val="28"/>
        </w:rPr>
      </w:pPr>
      <w:r w:rsidRPr="008D0034">
        <w:rPr>
          <w:rFonts w:eastAsiaTheme="minorHAnsi" w:cs="Arial"/>
          <w:b w:val="0"/>
          <w:bCs/>
          <w:sz w:val="24"/>
          <w:szCs w:val="22"/>
        </w:rPr>
        <w:t xml:space="preserve">In addition, the recent successful delivery of the Keeping Education Strong Strategy to manage falling school rolls in mainstream provision has released </w:t>
      </w:r>
      <w:proofErr w:type="gramStart"/>
      <w:r w:rsidRPr="008D0034">
        <w:rPr>
          <w:rFonts w:eastAsiaTheme="minorHAnsi" w:cs="Arial"/>
          <w:b w:val="0"/>
          <w:bCs/>
          <w:sz w:val="24"/>
          <w:szCs w:val="22"/>
        </w:rPr>
        <w:t>a number of</w:t>
      </w:r>
      <w:proofErr w:type="gramEnd"/>
      <w:r w:rsidRPr="008D0034">
        <w:rPr>
          <w:rFonts w:eastAsiaTheme="minorHAnsi" w:cs="Arial"/>
          <w:b w:val="0"/>
          <w:bCs/>
          <w:sz w:val="24"/>
          <w:szCs w:val="22"/>
        </w:rPr>
        <w:t xml:space="preserve"> education sites which can be readily repurposed into new special provision.</w:t>
      </w:r>
    </w:p>
    <w:p w14:paraId="73926CBB" w14:textId="77777777" w:rsidR="00CF7CD9" w:rsidRPr="00136EB4" w:rsidRDefault="00CF7CD9" w:rsidP="00F00E83">
      <w:pPr>
        <w:tabs>
          <w:tab w:val="left" w:pos="1772"/>
          <w:tab w:val="left" w:pos="1774"/>
        </w:tabs>
        <w:spacing w:before="232"/>
        <w:ind w:right="1021"/>
        <w:jc w:val="both"/>
        <w:rPr>
          <w:rFonts w:cs="Arial"/>
          <w:b/>
        </w:rPr>
      </w:pPr>
      <w:r w:rsidRPr="00136EB4">
        <w:rPr>
          <w:rFonts w:cs="Arial"/>
          <w:b/>
        </w:rPr>
        <w:t>Special place capacity - secondary</w:t>
      </w:r>
    </w:p>
    <w:p w14:paraId="7B174FE4" w14:textId="77777777" w:rsidR="00CF7CD9" w:rsidRPr="00136EB4" w:rsidRDefault="00CF7CD9" w:rsidP="00F00E83">
      <w:pPr>
        <w:pStyle w:val="BodyTextIndent"/>
        <w:ind w:left="0" w:right="256"/>
        <w:jc w:val="both"/>
        <w:rPr>
          <w:rFonts w:cs="Arial"/>
          <w:b w:val="0"/>
          <w:bCs/>
          <w:sz w:val="28"/>
          <w:szCs w:val="28"/>
        </w:rPr>
      </w:pPr>
      <w:r w:rsidRPr="00136EB4">
        <w:rPr>
          <w:rFonts w:cs="Arial"/>
          <w:b w:val="0"/>
          <w:bCs/>
          <w:sz w:val="24"/>
          <w:szCs w:val="24"/>
        </w:rPr>
        <w:t xml:space="preserve">It is well established locally, regionally and nationally that higher proportions of secondary age pupils are in special education provision (Figure </w:t>
      </w:r>
      <w:r>
        <w:rPr>
          <w:rFonts w:cs="Arial"/>
          <w:b w:val="0"/>
          <w:bCs/>
          <w:sz w:val="24"/>
          <w:szCs w:val="24"/>
        </w:rPr>
        <w:t>1</w:t>
      </w:r>
      <w:r w:rsidRPr="00136EB4">
        <w:rPr>
          <w:rFonts w:cs="Arial"/>
          <w:b w:val="0"/>
          <w:bCs/>
          <w:sz w:val="24"/>
          <w:szCs w:val="24"/>
        </w:rPr>
        <w:t>).  This is commensurate with evidence that shows the mitigating actions and inclusive provision that can be mobilised around primary age pupils, such as resource bases, is less applicable in a secondary setting where the demands of mainstream curriculum become less conducive to the additional support needs of some pupils with compl</w:t>
      </w:r>
      <w:r w:rsidRPr="00136EB4">
        <w:rPr>
          <w:rFonts w:cs="Arial"/>
          <w:b w:val="0"/>
          <w:bCs/>
        </w:rPr>
        <w:t>ex difficulties.</w:t>
      </w:r>
    </w:p>
    <w:p w14:paraId="4860D1D1" w14:textId="77777777" w:rsidR="00CF7CD9" w:rsidRPr="00827D70" w:rsidRDefault="00CF7CD9" w:rsidP="00F00E83">
      <w:pPr>
        <w:tabs>
          <w:tab w:val="left" w:pos="1772"/>
          <w:tab w:val="left" w:pos="1774"/>
        </w:tabs>
        <w:spacing w:before="232"/>
        <w:ind w:left="851" w:right="1021"/>
        <w:jc w:val="both"/>
        <w:rPr>
          <w:rFonts w:cs="Arial"/>
        </w:rPr>
      </w:pPr>
      <w:r w:rsidRPr="00827D70">
        <w:rPr>
          <w:rFonts w:cs="Arial"/>
          <w:noProof/>
          <w:lang w:eastAsia="en-GB"/>
        </w:rPr>
        <w:drawing>
          <wp:inline distT="0" distB="0" distL="0" distR="0" wp14:anchorId="0CCA1E32" wp14:editId="6400848B">
            <wp:extent cx="4513478" cy="2026311"/>
            <wp:effectExtent l="0" t="0" r="1905" b="1206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5E1FA9" w14:textId="77777777" w:rsidR="00CF7CD9" w:rsidRPr="008B31D0" w:rsidRDefault="00CF7CD9" w:rsidP="00F00E83">
      <w:pPr>
        <w:pStyle w:val="ListParagraph"/>
        <w:tabs>
          <w:tab w:val="left" w:pos="1772"/>
          <w:tab w:val="left" w:pos="1774"/>
        </w:tabs>
        <w:ind w:right="1021"/>
        <w:jc w:val="both"/>
        <w:rPr>
          <w:rFonts w:cs="Arial"/>
          <w:b/>
          <w:sz w:val="18"/>
          <w:szCs w:val="18"/>
        </w:rPr>
      </w:pPr>
      <w:r w:rsidRPr="008B31D0">
        <w:rPr>
          <w:rFonts w:cs="Arial"/>
          <w:b/>
          <w:sz w:val="18"/>
          <w:szCs w:val="18"/>
        </w:rPr>
        <w:t>Figure 1: Percentage of pupils in special education provision by year group</w:t>
      </w:r>
    </w:p>
    <w:p w14:paraId="3488C0B5" w14:textId="77777777" w:rsidR="00CF7CD9" w:rsidRDefault="00CF7CD9" w:rsidP="00F00E83">
      <w:pPr>
        <w:pStyle w:val="BodyTextIndent"/>
        <w:ind w:left="0" w:right="256"/>
        <w:jc w:val="both"/>
        <w:rPr>
          <w:rFonts w:cs="Arial"/>
          <w:b w:val="0"/>
          <w:bCs/>
          <w:sz w:val="24"/>
          <w:szCs w:val="24"/>
        </w:rPr>
      </w:pPr>
      <w:r>
        <w:rPr>
          <w:rFonts w:cs="Arial"/>
          <w:b w:val="0"/>
          <w:bCs/>
          <w:sz w:val="24"/>
          <w:szCs w:val="24"/>
        </w:rPr>
        <w:t>Growth modelling has been undertaken to provide assurance on our forecasting for secondary special place demand in the borough.  This has been predicated on three weighted scenarios:</w:t>
      </w:r>
    </w:p>
    <w:p w14:paraId="7D55AA14" w14:textId="77777777" w:rsidR="00CF7CD9" w:rsidRDefault="00CF7CD9" w:rsidP="00F00E83">
      <w:pPr>
        <w:pStyle w:val="BodyTextIndent"/>
        <w:ind w:left="567" w:right="256"/>
        <w:jc w:val="both"/>
        <w:rPr>
          <w:rFonts w:cs="Arial"/>
          <w:b w:val="0"/>
          <w:bCs/>
          <w:sz w:val="24"/>
          <w:szCs w:val="24"/>
        </w:rPr>
      </w:pPr>
    </w:p>
    <w:p w14:paraId="5A6AC8A9" w14:textId="01B1CE23" w:rsidR="00CF7CD9" w:rsidRPr="00EC5077" w:rsidRDefault="00CF7CD9" w:rsidP="00F00E83">
      <w:pPr>
        <w:pStyle w:val="BodyTextIndent"/>
        <w:numPr>
          <w:ilvl w:val="1"/>
          <w:numId w:val="2"/>
        </w:numPr>
        <w:spacing w:after="240"/>
        <w:ind w:right="256"/>
        <w:jc w:val="both"/>
        <w:rPr>
          <w:rFonts w:cs="Arial"/>
          <w:b w:val="0"/>
          <w:sz w:val="28"/>
          <w:szCs w:val="28"/>
        </w:rPr>
      </w:pPr>
      <w:r w:rsidRPr="00EC5077">
        <w:rPr>
          <w:rFonts w:cs="Arial"/>
          <w:b w:val="0"/>
          <w:i/>
          <w:iCs/>
          <w:sz w:val="24"/>
          <w:szCs w:val="22"/>
        </w:rPr>
        <w:t>‘</w:t>
      </w:r>
      <w:r w:rsidR="001F539A">
        <w:rPr>
          <w:rFonts w:cs="Arial"/>
          <w:b w:val="0"/>
          <w:i/>
          <w:iCs/>
          <w:sz w:val="24"/>
          <w:szCs w:val="22"/>
        </w:rPr>
        <w:t>Low need</w:t>
      </w:r>
      <w:r w:rsidRPr="00EC5077">
        <w:rPr>
          <w:rFonts w:cs="Arial"/>
          <w:b w:val="0"/>
          <w:i/>
          <w:iCs/>
          <w:sz w:val="24"/>
          <w:szCs w:val="22"/>
        </w:rPr>
        <w:t xml:space="preserve"> scenario’</w:t>
      </w:r>
      <w:r w:rsidRPr="00EC5077">
        <w:rPr>
          <w:rFonts w:cs="Arial"/>
          <w:b w:val="0"/>
          <w:sz w:val="24"/>
          <w:szCs w:val="22"/>
        </w:rPr>
        <w:t xml:space="preserve"> </w:t>
      </w:r>
      <w:r>
        <w:rPr>
          <w:rFonts w:cs="Arial"/>
          <w:b w:val="0"/>
          <w:sz w:val="24"/>
          <w:szCs w:val="22"/>
        </w:rPr>
        <w:t xml:space="preserve">– </w:t>
      </w:r>
      <w:r w:rsidRPr="00EC5077">
        <w:rPr>
          <w:rFonts w:cs="Arial"/>
          <w:b w:val="0"/>
          <w:sz w:val="24"/>
          <w:szCs w:val="22"/>
        </w:rPr>
        <w:t>weighting</w:t>
      </w:r>
      <w:r>
        <w:rPr>
          <w:rFonts w:cs="Arial"/>
          <w:b w:val="0"/>
          <w:sz w:val="24"/>
          <w:szCs w:val="22"/>
        </w:rPr>
        <w:t xml:space="preserve"> forecasting on continuing</w:t>
      </w:r>
      <w:r w:rsidRPr="00EC5077">
        <w:rPr>
          <w:rFonts w:cs="Arial"/>
          <w:b w:val="0"/>
          <w:sz w:val="24"/>
          <w:szCs w:val="22"/>
        </w:rPr>
        <w:t xml:space="preserve"> falling pupil rolls and </w:t>
      </w:r>
      <w:r>
        <w:rPr>
          <w:rFonts w:cs="Arial"/>
          <w:b w:val="0"/>
          <w:sz w:val="24"/>
          <w:szCs w:val="22"/>
        </w:rPr>
        <w:t xml:space="preserve">high estimations of success in </w:t>
      </w:r>
      <w:r w:rsidRPr="00EC5077">
        <w:rPr>
          <w:rFonts w:cs="Arial"/>
          <w:b w:val="0"/>
          <w:sz w:val="24"/>
          <w:szCs w:val="22"/>
        </w:rPr>
        <w:t>support</w:t>
      </w:r>
      <w:r>
        <w:rPr>
          <w:rFonts w:cs="Arial"/>
          <w:b w:val="0"/>
          <w:sz w:val="24"/>
          <w:szCs w:val="22"/>
        </w:rPr>
        <w:t>ing more</w:t>
      </w:r>
      <w:r w:rsidRPr="00EC5077">
        <w:rPr>
          <w:rFonts w:cs="Arial"/>
          <w:b w:val="0"/>
          <w:sz w:val="24"/>
          <w:szCs w:val="22"/>
        </w:rPr>
        <w:t xml:space="preserve"> children to remain in mainstream provision. </w:t>
      </w:r>
    </w:p>
    <w:p w14:paraId="4DA0DDED" w14:textId="33B0560B" w:rsidR="00CF7CD9" w:rsidRPr="00EC5077" w:rsidRDefault="00CF7CD9" w:rsidP="00F00E83">
      <w:pPr>
        <w:pStyle w:val="BodyTextIndent"/>
        <w:numPr>
          <w:ilvl w:val="1"/>
          <w:numId w:val="2"/>
        </w:numPr>
        <w:spacing w:after="240"/>
        <w:ind w:right="256"/>
        <w:jc w:val="both"/>
        <w:rPr>
          <w:rFonts w:cs="Arial"/>
          <w:b w:val="0"/>
          <w:sz w:val="28"/>
          <w:szCs w:val="28"/>
        </w:rPr>
      </w:pPr>
      <w:r>
        <w:rPr>
          <w:rFonts w:cs="Arial"/>
          <w:b w:val="0"/>
          <w:i/>
          <w:iCs/>
          <w:sz w:val="24"/>
          <w:szCs w:val="22"/>
        </w:rPr>
        <w:t>‘</w:t>
      </w:r>
      <w:r w:rsidR="001F539A">
        <w:rPr>
          <w:rFonts w:cs="Arial"/>
          <w:b w:val="0"/>
          <w:i/>
          <w:iCs/>
          <w:sz w:val="24"/>
          <w:szCs w:val="22"/>
        </w:rPr>
        <w:t>High need</w:t>
      </w:r>
      <w:r w:rsidRPr="00EC5077">
        <w:rPr>
          <w:rFonts w:cs="Arial"/>
          <w:b w:val="0"/>
          <w:i/>
          <w:iCs/>
          <w:sz w:val="24"/>
          <w:szCs w:val="22"/>
        </w:rPr>
        <w:t xml:space="preserve"> scenario</w:t>
      </w:r>
      <w:r>
        <w:rPr>
          <w:rFonts w:cs="Arial"/>
          <w:b w:val="0"/>
          <w:sz w:val="24"/>
          <w:szCs w:val="22"/>
        </w:rPr>
        <w:t>’</w:t>
      </w:r>
      <w:r w:rsidRPr="00EC5077">
        <w:rPr>
          <w:rFonts w:cs="Arial"/>
          <w:b w:val="0"/>
          <w:sz w:val="24"/>
          <w:szCs w:val="22"/>
        </w:rPr>
        <w:t xml:space="preserve"> </w:t>
      </w:r>
      <w:r>
        <w:rPr>
          <w:rFonts w:cs="Arial"/>
          <w:b w:val="0"/>
          <w:sz w:val="24"/>
          <w:szCs w:val="22"/>
        </w:rPr>
        <w:t>–</w:t>
      </w:r>
      <w:r w:rsidRPr="00EC5077">
        <w:rPr>
          <w:rFonts w:cs="Arial"/>
          <w:b w:val="0"/>
          <w:sz w:val="24"/>
          <w:szCs w:val="22"/>
        </w:rPr>
        <w:t xml:space="preserve"> weight</w:t>
      </w:r>
      <w:r>
        <w:rPr>
          <w:rFonts w:cs="Arial"/>
          <w:b w:val="0"/>
          <w:sz w:val="24"/>
          <w:szCs w:val="22"/>
        </w:rPr>
        <w:t>ing forecasting</w:t>
      </w:r>
      <w:r w:rsidRPr="00EC5077">
        <w:rPr>
          <w:rFonts w:cs="Arial"/>
          <w:b w:val="0"/>
          <w:sz w:val="24"/>
          <w:szCs w:val="22"/>
        </w:rPr>
        <w:t xml:space="preserve"> towards the</w:t>
      </w:r>
      <w:r>
        <w:rPr>
          <w:rFonts w:cs="Arial"/>
          <w:b w:val="0"/>
          <w:sz w:val="24"/>
          <w:szCs w:val="22"/>
        </w:rPr>
        <w:t xml:space="preserve"> previous</w:t>
      </w:r>
      <w:r w:rsidRPr="00EC5077">
        <w:rPr>
          <w:rFonts w:cs="Arial"/>
          <w:b w:val="0"/>
          <w:sz w:val="24"/>
          <w:szCs w:val="22"/>
        </w:rPr>
        <w:t xml:space="preserve"> 5-year trend </w:t>
      </w:r>
      <w:r>
        <w:rPr>
          <w:rFonts w:cs="Arial"/>
          <w:b w:val="0"/>
          <w:sz w:val="24"/>
          <w:szCs w:val="22"/>
        </w:rPr>
        <w:t xml:space="preserve">of significant </w:t>
      </w:r>
      <w:r w:rsidRPr="00EC5077">
        <w:rPr>
          <w:rFonts w:cs="Arial"/>
          <w:b w:val="0"/>
          <w:sz w:val="24"/>
          <w:szCs w:val="22"/>
        </w:rPr>
        <w:t>increase</w:t>
      </w:r>
      <w:r>
        <w:rPr>
          <w:rFonts w:cs="Arial"/>
          <w:b w:val="0"/>
          <w:sz w:val="24"/>
          <w:szCs w:val="22"/>
        </w:rPr>
        <w:t>s</w:t>
      </w:r>
      <w:r w:rsidRPr="00EC5077">
        <w:rPr>
          <w:rFonts w:cs="Arial"/>
          <w:b w:val="0"/>
          <w:sz w:val="24"/>
          <w:szCs w:val="22"/>
        </w:rPr>
        <w:t xml:space="preserve"> in demand for special school places</w:t>
      </w:r>
      <w:r>
        <w:rPr>
          <w:rFonts w:cs="Arial"/>
          <w:b w:val="0"/>
          <w:sz w:val="24"/>
          <w:szCs w:val="22"/>
        </w:rPr>
        <w:t xml:space="preserve">, and a lower impact of falling </w:t>
      </w:r>
      <w:proofErr w:type="gramStart"/>
      <w:r>
        <w:rPr>
          <w:rFonts w:cs="Arial"/>
          <w:b w:val="0"/>
          <w:sz w:val="24"/>
          <w:szCs w:val="22"/>
        </w:rPr>
        <w:t>pupils</w:t>
      </w:r>
      <w:proofErr w:type="gramEnd"/>
      <w:r>
        <w:rPr>
          <w:rFonts w:cs="Arial"/>
          <w:b w:val="0"/>
          <w:sz w:val="24"/>
          <w:szCs w:val="22"/>
        </w:rPr>
        <w:t xml:space="preserve"> rolls</w:t>
      </w:r>
      <w:r w:rsidRPr="00EC5077">
        <w:rPr>
          <w:rFonts w:cs="Arial"/>
          <w:b w:val="0"/>
          <w:sz w:val="24"/>
          <w:szCs w:val="22"/>
        </w:rPr>
        <w:t xml:space="preserve">.  </w:t>
      </w:r>
    </w:p>
    <w:p w14:paraId="2F6EA178" w14:textId="77777777" w:rsidR="00CF7CD9" w:rsidRPr="00374CCF" w:rsidRDefault="00CF7CD9" w:rsidP="00F00E83">
      <w:pPr>
        <w:pStyle w:val="BodyTextIndent"/>
        <w:numPr>
          <w:ilvl w:val="1"/>
          <w:numId w:val="2"/>
        </w:numPr>
        <w:spacing w:after="240"/>
        <w:ind w:right="256"/>
        <w:jc w:val="both"/>
        <w:rPr>
          <w:rFonts w:cs="Arial"/>
          <w:b w:val="0"/>
          <w:sz w:val="28"/>
          <w:szCs w:val="28"/>
        </w:rPr>
      </w:pPr>
      <w:r>
        <w:rPr>
          <w:rFonts w:cs="Arial"/>
          <w:b w:val="0"/>
          <w:i/>
          <w:iCs/>
          <w:sz w:val="24"/>
          <w:szCs w:val="22"/>
        </w:rPr>
        <w:t>‘Middle</w:t>
      </w:r>
      <w:r w:rsidRPr="00EC5077">
        <w:rPr>
          <w:rFonts w:cs="Arial"/>
          <w:b w:val="0"/>
          <w:i/>
          <w:iCs/>
          <w:sz w:val="24"/>
          <w:szCs w:val="22"/>
        </w:rPr>
        <w:t xml:space="preserve"> scenario</w:t>
      </w:r>
      <w:r>
        <w:rPr>
          <w:rFonts w:cs="Arial"/>
          <w:b w:val="0"/>
          <w:i/>
          <w:iCs/>
          <w:sz w:val="24"/>
          <w:szCs w:val="22"/>
        </w:rPr>
        <w:t xml:space="preserve">’ – </w:t>
      </w:r>
      <w:r>
        <w:rPr>
          <w:rFonts w:cs="Arial"/>
          <w:b w:val="0"/>
          <w:sz w:val="24"/>
          <w:szCs w:val="22"/>
        </w:rPr>
        <w:t>a measured central position between the two scenarios.</w:t>
      </w:r>
    </w:p>
    <w:p w14:paraId="4235404D" w14:textId="6377DEB2" w:rsidR="00CF7CD9" w:rsidRPr="002826BF" w:rsidRDefault="00CF7CD9" w:rsidP="00F00E83">
      <w:pPr>
        <w:pStyle w:val="BodyTextIndent"/>
        <w:spacing w:after="240"/>
        <w:ind w:left="0" w:right="256"/>
        <w:jc w:val="both"/>
        <w:rPr>
          <w:rFonts w:cs="Arial"/>
          <w:b w:val="0"/>
          <w:bCs/>
          <w:sz w:val="24"/>
          <w:szCs w:val="24"/>
        </w:rPr>
      </w:pPr>
      <w:r w:rsidRPr="002826BF">
        <w:rPr>
          <w:rFonts w:cs="Arial"/>
          <w:b w:val="0"/>
          <w:sz w:val="24"/>
          <w:szCs w:val="22"/>
        </w:rPr>
        <w:t xml:space="preserve">In all modelling </w:t>
      </w:r>
      <w:r>
        <w:rPr>
          <w:rFonts w:cs="Arial"/>
          <w:b w:val="0"/>
          <w:sz w:val="24"/>
          <w:szCs w:val="22"/>
        </w:rPr>
        <w:t>forecasting suggests a continued increase in need for special school secondary places, and a gap in capacity of between 39% and 75% by 2031 (</w:t>
      </w:r>
      <w:r w:rsidR="00EB1755">
        <w:rPr>
          <w:rFonts w:cs="Arial"/>
          <w:b w:val="0"/>
          <w:sz w:val="24"/>
          <w:szCs w:val="22"/>
        </w:rPr>
        <w:t>f</w:t>
      </w:r>
      <w:r>
        <w:rPr>
          <w:rFonts w:cs="Arial"/>
          <w:b w:val="0"/>
          <w:sz w:val="24"/>
          <w:szCs w:val="22"/>
        </w:rPr>
        <w:t>igure 2).</w:t>
      </w:r>
    </w:p>
    <w:p w14:paraId="1CCF1F7D" w14:textId="77777777" w:rsidR="00CF7CD9" w:rsidRDefault="00CF7CD9" w:rsidP="00F00E83">
      <w:pPr>
        <w:pStyle w:val="BodyTextIndent"/>
        <w:ind w:left="567" w:right="256"/>
        <w:jc w:val="both"/>
        <w:rPr>
          <w:rFonts w:cs="Arial"/>
          <w:b w:val="0"/>
          <w:bCs/>
          <w:sz w:val="24"/>
          <w:szCs w:val="24"/>
        </w:rPr>
      </w:pPr>
      <w:r>
        <w:rPr>
          <w:noProof/>
          <w:lang w:eastAsia="en-GB"/>
        </w:rPr>
        <w:drawing>
          <wp:inline distT="0" distB="0" distL="0" distR="0" wp14:anchorId="154843E0" wp14:editId="50482FE8">
            <wp:extent cx="5149850" cy="2626360"/>
            <wp:effectExtent l="0" t="0" r="12700" b="2540"/>
            <wp:docPr id="100823154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F7BEB3" w14:textId="77777777" w:rsidR="00CF7CD9" w:rsidRPr="008B31D0" w:rsidRDefault="00CF7CD9" w:rsidP="00F00E83">
      <w:pPr>
        <w:pStyle w:val="ListParagraph"/>
        <w:tabs>
          <w:tab w:val="left" w:pos="1772"/>
          <w:tab w:val="left" w:pos="1774"/>
        </w:tabs>
        <w:ind w:right="1021" w:firstLine="69"/>
        <w:jc w:val="both"/>
        <w:rPr>
          <w:rFonts w:cs="Arial"/>
          <w:b/>
          <w:sz w:val="18"/>
          <w:szCs w:val="18"/>
        </w:rPr>
      </w:pPr>
      <w:r w:rsidRPr="008B31D0">
        <w:rPr>
          <w:rFonts w:cs="Arial"/>
          <w:b/>
          <w:sz w:val="18"/>
          <w:szCs w:val="18"/>
        </w:rPr>
        <w:t xml:space="preserve">Figure 2: Special Place Forecasting – </w:t>
      </w:r>
      <w:r>
        <w:rPr>
          <w:rFonts w:cs="Arial"/>
          <w:b/>
          <w:sz w:val="18"/>
          <w:szCs w:val="18"/>
        </w:rPr>
        <w:t xml:space="preserve">Southwark </w:t>
      </w:r>
      <w:r w:rsidRPr="008B31D0">
        <w:rPr>
          <w:rFonts w:cs="Arial"/>
          <w:b/>
          <w:sz w:val="18"/>
          <w:szCs w:val="18"/>
        </w:rPr>
        <w:t xml:space="preserve">Secondary Pupils </w:t>
      </w:r>
    </w:p>
    <w:p w14:paraId="17098A69" w14:textId="0145E65C" w:rsidR="00CF7CD9" w:rsidRDefault="00CF7CD9" w:rsidP="00F00E83">
      <w:pPr>
        <w:pStyle w:val="BodyTextIndent"/>
        <w:ind w:left="0" w:right="256"/>
        <w:jc w:val="both"/>
        <w:rPr>
          <w:rFonts w:cs="Arial"/>
          <w:b w:val="0"/>
          <w:bCs/>
          <w:sz w:val="24"/>
          <w:szCs w:val="24"/>
        </w:rPr>
      </w:pPr>
      <w:r>
        <w:rPr>
          <w:rFonts w:cs="Arial"/>
          <w:b w:val="0"/>
          <w:bCs/>
          <w:sz w:val="24"/>
          <w:szCs w:val="24"/>
        </w:rPr>
        <w:t xml:space="preserve">Even at the most conservative modelling </w:t>
      </w:r>
      <w:r w:rsidRPr="00665234">
        <w:rPr>
          <w:rFonts w:cs="Arial"/>
          <w:b w:val="0"/>
          <w:bCs/>
          <w:sz w:val="24"/>
          <w:szCs w:val="24"/>
        </w:rPr>
        <w:t xml:space="preserve">whilst it is </w:t>
      </w:r>
      <w:r>
        <w:rPr>
          <w:rFonts w:cs="Arial"/>
          <w:b w:val="0"/>
          <w:bCs/>
          <w:sz w:val="24"/>
          <w:szCs w:val="24"/>
        </w:rPr>
        <w:t>anticipated</w:t>
      </w:r>
      <w:r w:rsidRPr="00665234">
        <w:rPr>
          <w:rFonts w:cs="Arial"/>
          <w:b w:val="0"/>
          <w:bCs/>
          <w:sz w:val="24"/>
          <w:szCs w:val="24"/>
        </w:rPr>
        <w:t xml:space="preserve"> that the demand for </w:t>
      </w:r>
      <w:r w:rsidR="00783329">
        <w:rPr>
          <w:rFonts w:cs="Arial"/>
          <w:b w:val="0"/>
          <w:bCs/>
          <w:sz w:val="24"/>
          <w:szCs w:val="24"/>
        </w:rPr>
        <w:t>primary</w:t>
      </w:r>
      <w:r w:rsidRPr="00665234">
        <w:rPr>
          <w:rFonts w:cs="Arial"/>
          <w:b w:val="0"/>
          <w:bCs/>
          <w:sz w:val="24"/>
          <w:szCs w:val="24"/>
        </w:rPr>
        <w:t xml:space="preserve"> special provision will </w:t>
      </w:r>
      <w:r>
        <w:rPr>
          <w:rFonts w:cs="Arial"/>
          <w:b w:val="0"/>
          <w:bCs/>
          <w:sz w:val="24"/>
          <w:szCs w:val="24"/>
        </w:rPr>
        <w:t xml:space="preserve">remain relatively stable </w:t>
      </w:r>
      <w:r w:rsidRPr="00665234">
        <w:rPr>
          <w:rFonts w:cs="Arial"/>
          <w:b w:val="0"/>
          <w:bCs/>
          <w:sz w:val="24"/>
          <w:szCs w:val="24"/>
        </w:rPr>
        <w:t xml:space="preserve">over the next 3-5 years as inclusive provision is strengthened across the </w:t>
      </w:r>
      <w:r>
        <w:rPr>
          <w:rFonts w:cs="Arial"/>
          <w:b w:val="0"/>
          <w:bCs/>
          <w:sz w:val="24"/>
          <w:szCs w:val="24"/>
        </w:rPr>
        <w:t>b</w:t>
      </w:r>
      <w:r w:rsidRPr="00665234">
        <w:rPr>
          <w:rFonts w:cs="Arial"/>
          <w:b w:val="0"/>
          <w:bCs/>
          <w:sz w:val="24"/>
          <w:szCs w:val="24"/>
        </w:rPr>
        <w:t>orough</w:t>
      </w:r>
      <w:r>
        <w:rPr>
          <w:rFonts w:cs="Arial"/>
          <w:b w:val="0"/>
          <w:bCs/>
          <w:sz w:val="24"/>
          <w:szCs w:val="24"/>
        </w:rPr>
        <w:t>, i</w:t>
      </w:r>
      <w:r w:rsidRPr="00665234">
        <w:rPr>
          <w:rFonts w:cs="Arial"/>
          <w:b w:val="0"/>
          <w:bCs/>
          <w:sz w:val="24"/>
          <w:szCs w:val="24"/>
        </w:rPr>
        <w:t xml:space="preserve">t is </w:t>
      </w:r>
      <w:r>
        <w:rPr>
          <w:rFonts w:cs="Arial"/>
          <w:b w:val="0"/>
          <w:bCs/>
          <w:sz w:val="24"/>
          <w:szCs w:val="24"/>
        </w:rPr>
        <w:t>forecast</w:t>
      </w:r>
      <w:r w:rsidRPr="00665234">
        <w:rPr>
          <w:rFonts w:cs="Arial"/>
          <w:b w:val="0"/>
          <w:bCs/>
          <w:sz w:val="24"/>
          <w:szCs w:val="24"/>
        </w:rPr>
        <w:t xml:space="preserve"> that demand for secondary age special provision will see a continued increase (Figure </w:t>
      </w:r>
      <w:r>
        <w:rPr>
          <w:rFonts w:cs="Arial"/>
          <w:b w:val="0"/>
          <w:bCs/>
          <w:sz w:val="24"/>
          <w:szCs w:val="24"/>
        </w:rPr>
        <w:t>3</w:t>
      </w:r>
      <w:r w:rsidRPr="00665234">
        <w:rPr>
          <w:rFonts w:cs="Arial"/>
          <w:b w:val="0"/>
          <w:bCs/>
          <w:sz w:val="24"/>
          <w:szCs w:val="24"/>
        </w:rPr>
        <w:t>).</w:t>
      </w:r>
    </w:p>
    <w:p w14:paraId="640F9FB4" w14:textId="77777777" w:rsidR="00CF7CD9" w:rsidRPr="00827D70" w:rsidRDefault="00CF7CD9" w:rsidP="00F00E83">
      <w:pPr>
        <w:pStyle w:val="ListParagraph"/>
        <w:tabs>
          <w:tab w:val="left" w:pos="1772"/>
          <w:tab w:val="left" w:pos="1774"/>
        </w:tabs>
        <w:spacing w:before="232"/>
        <w:ind w:left="851" w:right="1021"/>
        <w:jc w:val="both"/>
        <w:rPr>
          <w:rFonts w:cs="Arial"/>
          <w:b/>
        </w:rPr>
      </w:pPr>
      <w:r w:rsidRPr="00827D70">
        <w:rPr>
          <w:rFonts w:cs="Arial"/>
          <w:noProof/>
          <w:lang w:eastAsia="en-GB"/>
        </w:rPr>
        <w:drawing>
          <wp:inline distT="0" distB="0" distL="0" distR="0" wp14:anchorId="65420C20" wp14:editId="536E9743">
            <wp:extent cx="4630420" cy="2172615"/>
            <wp:effectExtent l="0" t="0" r="17780" b="18415"/>
            <wp:docPr id="1728377538" name="Chart 17283775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6EBA1F" w14:textId="77777777" w:rsidR="00CF7CD9" w:rsidRPr="008B31D0" w:rsidRDefault="00CF7CD9" w:rsidP="00F00E83">
      <w:pPr>
        <w:pStyle w:val="ListParagraph"/>
        <w:tabs>
          <w:tab w:val="left" w:pos="1772"/>
          <w:tab w:val="left" w:pos="1774"/>
        </w:tabs>
        <w:ind w:right="1021" w:firstLine="69"/>
        <w:jc w:val="both"/>
        <w:rPr>
          <w:rFonts w:cs="Arial"/>
          <w:b/>
          <w:sz w:val="18"/>
          <w:szCs w:val="18"/>
        </w:rPr>
      </w:pPr>
      <w:r w:rsidRPr="008B31D0">
        <w:rPr>
          <w:rFonts w:cs="Arial"/>
          <w:b/>
          <w:sz w:val="18"/>
          <w:szCs w:val="18"/>
        </w:rPr>
        <w:t xml:space="preserve">Figure </w:t>
      </w:r>
      <w:r>
        <w:rPr>
          <w:rFonts w:cs="Arial"/>
          <w:b/>
          <w:sz w:val="18"/>
          <w:szCs w:val="18"/>
        </w:rPr>
        <w:t>3</w:t>
      </w:r>
      <w:r w:rsidRPr="008B31D0">
        <w:rPr>
          <w:rFonts w:cs="Arial"/>
          <w:b/>
          <w:sz w:val="18"/>
          <w:szCs w:val="18"/>
        </w:rPr>
        <w:t xml:space="preserve">: Special Place Forecasting – </w:t>
      </w:r>
      <w:r>
        <w:rPr>
          <w:rFonts w:cs="Arial"/>
          <w:b/>
          <w:sz w:val="18"/>
          <w:szCs w:val="18"/>
        </w:rPr>
        <w:t xml:space="preserve">Southwark </w:t>
      </w:r>
      <w:r w:rsidRPr="008B31D0">
        <w:rPr>
          <w:rFonts w:cs="Arial"/>
          <w:b/>
          <w:sz w:val="18"/>
          <w:szCs w:val="18"/>
        </w:rPr>
        <w:t xml:space="preserve">Secondary Pupils </w:t>
      </w:r>
    </w:p>
    <w:p w14:paraId="5A5731D3" w14:textId="4783F7E6" w:rsidR="00CF7CD9" w:rsidRDefault="00CF7CD9" w:rsidP="00F00E83">
      <w:pPr>
        <w:pStyle w:val="BodyTextIndent"/>
        <w:ind w:left="0" w:right="256"/>
        <w:jc w:val="both"/>
        <w:rPr>
          <w:rFonts w:cs="Arial"/>
          <w:b w:val="0"/>
          <w:bCs/>
          <w:sz w:val="24"/>
          <w:szCs w:val="24"/>
        </w:rPr>
      </w:pPr>
      <w:r>
        <w:rPr>
          <w:rFonts w:cs="Arial"/>
          <w:b w:val="0"/>
          <w:bCs/>
          <w:sz w:val="24"/>
          <w:szCs w:val="24"/>
        </w:rPr>
        <w:t>It is recognised that there will always be a smaller cohort of children with additional needs who require very specific support that can only be provided in independent specialist provision.  However</w:t>
      </w:r>
      <w:r w:rsidR="00783329">
        <w:rPr>
          <w:rFonts w:cs="Arial"/>
          <w:b w:val="0"/>
          <w:bCs/>
          <w:sz w:val="24"/>
          <w:szCs w:val="24"/>
        </w:rPr>
        <w:t>,</w:t>
      </w:r>
      <w:r>
        <w:rPr>
          <w:rFonts w:cs="Arial"/>
          <w:b w:val="0"/>
          <w:bCs/>
          <w:sz w:val="24"/>
          <w:szCs w:val="24"/>
        </w:rPr>
        <w:t xml:space="preserve"> the strategic intention of the council is to increase local capacity to make more places available to those pupils currently in independent provision who can realistically be educated in our local special schools.  There is currently an estimated 20% gap in available local places for all secondary pupils requiring a special school place, forecast to rise to 40% by 2030 (figure 4). Discounting the smaller cohort who will require independent placements, this still leaves a significant gap in local capacity.</w:t>
      </w:r>
    </w:p>
    <w:p w14:paraId="5E1F53E0" w14:textId="77777777" w:rsidR="00CF7CD9" w:rsidRDefault="00CF7CD9" w:rsidP="00F00E83">
      <w:pPr>
        <w:pStyle w:val="BodyTextIndent"/>
        <w:ind w:left="567" w:right="256"/>
        <w:jc w:val="both"/>
        <w:rPr>
          <w:rFonts w:cs="Arial"/>
          <w:b w:val="0"/>
          <w:bCs/>
          <w:sz w:val="24"/>
          <w:szCs w:val="24"/>
        </w:rPr>
      </w:pPr>
    </w:p>
    <w:p w14:paraId="72E1AB9D" w14:textId="77777777" w:rsidR="00CF7CD9" w:rsidRDefault="00CF7CD9" w:rsidP="00F00E83">
      <w:pPr>
        <w:pStyle w:val="BodyTextIndent"/>
        <w:ind w:left="567" w:right="256"/>
        <w:jc w:val="both"/>
        <w:rPr>
          <w:rFonts w:cs="Arial"/>
          <w:b w:val="0"/>
          <w:bCs/>
          <w:sz w:val="24"/>
          <w:szCs w:val="24"/>
        </w:rPr>
      </w:pPr>
      <w:r>
        <w:rPr>
          <w:noProof/>
          <w:lang w:eastAsia="en-GB"/>
        </w:rPr>
        <w:drawing>
          <wp:inline distT="0" distB="0" distL="0" distR="0" wp14:anchorId="47E7F674" wp14:editId="5FA1853F">
            <wp:extent cx="5149901" cy="2106778"/>
            <wp:effectExtent l="0" t="0" r="12700" b="8255"/>
            <wp:docPr id="29414537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818DCF" w14:textId="77777777" w:rsidR="00CF7CD9" w:rsidRPr="008B31D0" w:rsidRDefault="00CF7CD9" w:rsidP="00F00E83">
      <w:pPr>
        <w:pStyle w:val="ListParagraph"/>
        <w:tabs>
          <w:tab w:val="left" w:pos="1772"/>
          <w:tab w:val="left" w:pos="1774"/>
        </w:tabs>
        <w:ind w:right="1021" w:firstLine="69"/>
        <w:jc w:val="both"/>
        <w:rPr>
          <w:rFonts w:cs="Arial"/>
          <w:b/>
          <w:sz w:val="18"/>
          <w:szCs w:val="18"/>
        </w:rPr>
      </w:pPr>
      <w:r w:rsidRPr="008B31D0">
        <w:rPr>
          <w:rFonts w:cs="Arial"/>
          <w:b/>
          <w:sz w:val="18"/>
          <w:szCs w:val="18"/>
        </w:rPr>
        <w:t xml:space="preserve">Figure </w:t>
      </w:r>
      <w:r>
        <w:rPr>
          <w:rFonts w:cs="Arial"/>
          <w:b/>
          <w:sz w:val="18"/>
          <w:szCs w:val="18"/>
        </w:rPr>
        <w:t>4</w:t>
      </w:r>
      <w:r w:rsidRPr="008B31D0">
        <w:rPr>
          <w:rFonts w:cs="Arial"/>
          <w:b/>
          <w:sz w:val="18"/>
          <w:szCs w:val="18"/>
        </w:rPr>
        <w:t xml:space="preserve">: Special Place Forecasting – Secondary Pupils </w:t>
      </w:r>
      <w:r>
        <w:rPr>
          <w:rFonts w:cs="Arial"/>
          <w:b/>
          <w:sz w:val="18"/>
          <w:szCs w:val="18"/>
        </w:rPr>
        <w:t>vs capacity</w:t>
      </w:r>
    </w:p>
    <w:p w14:paraId="44362348" w14:textId="77777777" w:rsidR="00CF7CD9" w:rsidRDefault="00CF7CD9" w:rsidP="00F00E83">
      <w:pPr>
        <w:pStyle w:val="BodyTextIndent"/>
        <w:ind w:left="0" w:right="256"/>
        <w:jc w:val="both"/>
        <w:rPr>
          <w:rFonts w:cs="Arial"/>
          <w:b w:val="0"/>
          <w:bCs/>
          <w:sz w:val="24"/>
          <w:szCs w:val="24"/>
        </w:rPr>
      </w:pPr>
      <w:r w:rsidRPr="00665234">
        <w:rPr>
          <w:rFonts w:cs="Arial"/>
          <w:b w:val="0"/>
          <w:bCs/>
          <w:sz w:val="24"/>
          <w:szCs w:val="24"/>
        </w:rPr>
        <w:t xml:space="preserve">There are five special schools in Southwark for secondary pupils. </w:t>
      </w:r>
      <w:r>
        <w:rPr>
          <w:rFonts w:cs="Arial"/>
          <w:b w:val="0"/>
          <w:bCs/>
          <w:sz w:val="24"/>
          <w:szCs w:val="24"/>
        </w:rPr>
        <w:t xml:space="preserve">All but one of which is currently accommodating more pupils than its commissioned capacity, that being Newlands Academy (figure 5). </w:t>
      </w:r>
    </w:p>
    <w:p w14:paraId="6BF46A94" w14:textId="77777777" w:rsidR="00CF7CD9" w:rsidRPr="00827D70" w:rsidRDefault="00CF7CD9" w:rsidP="00F00E83">
      <w:pPr>
        <w:pStyle w:val="ListParagraph"/>
        <w:tabs>
          <w:tab w:val="left" w:pos="1772"/>
          <w:tab w:val="left" w:pos="1774"/>
        </w:tabs>
        <w:spacing w:before="232"/>
        <w:ind w:left="567" w:right="1021"/>
        <w:jc w:val="both"/>
        <w:rPr>
          <w:rFonts w:cs="Arial"/>
        </w:rPr>
      </w:pPr>
      <w:r w:rsidRPr="00827D70">
        <w:rPr>
          <w:rFonts w:cs="Arial"/>
          <w:noProof/>
          <w:lang w:eastAsia="en-GB"/>
        </w:rPr>
        <w:drawing>
          <wp:inline distT="0" distB="0" distL="0" distR="0" wp14:anchorId="309FD003" wp14:editId="4F75DC4F">
            <wp:extent cx="4834890" cy="2048256"/>
            <wp:effectExtent l="0" t="0" r="381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A99F69" w14:textId="77777777" w:rsidR="00CF7CD9" w:rsidRPr="00E76A27" w:rsidRDefault="00CF7CD9" w:rsidP="00F00E83">
      <w:pPr>
        <w:pStyle w:val="ListParagraph"/>
        <w:tabs>
          <w:tab w:val="left" w:pos="1772"/>
          <w:tab w:val="left" w:pos="1774"/>
        </w:tabs>
        <w:ind w:left="567" w:right="1021"/>
        <w:jc w:val="both"/>
        <w:rPr>
          <w:rFonts w:cs="Arial"/>
          <w:b/>
          <w:sz w:val="18"/>
          <w:szCs w:val="18"/>
        </w:rPr>
      </w:pPr>
      <w:r w:rsidRPr="00E76A27">
        <w:rPr>
          <w:rFonts w:cs="Arial"/>
          <w:b/>
          <w:sz w:val="18"/>
          <w:szCs w:val="18"/>
        </w:rPr>
        <w:t xml:space="preserve">Figure </w:t>
      </w:r>
      <w:r>
        <w:rPr>
          <w:rFonts w:cs="Arial"/>
          <w:b/>
          <w:sz w:val="18"/>
          <w:szCs w:val="18"/>
        </w:rPr>
        <w:t>5</w:t>
      </w:r>
      <w:r w:rsidRPr="00E76A27">
        <w:rPr>
          <w:rFonts w:cs="Arial"/>
          <w:b/>
          <w:sz w:val="18"/>
          <w:szCs w:val="18"/>
        </w:rPr>
        <w:t xml:space="preserve">: Secondary Special Schools Pupils on </w:t>
      </w:r>
      <w:r>
        <w:rPr>
          <w:rFonts w:cs="Arial"/>
          <w:b/>
          <w:sz w:val="18"/>
          <w:szCs w:val="18"/>
        </w:rPr>
        <w:t xml:space="preserve">Numbers on </w:t>
      </w:r>
      <w:r w:rsidRPr="00E76A27">
        <w:rPr>
          <w:rFonts w:cs="Arial"/>
          <w:b/>
          <w:sz w:val="18"/>
          <w:szCs w:val="18"/>
        </w:rPr>
        <w:t>Roll</w:t>
      </w:r>
      <w:r>
        <w:rPr>
          <w:rFonts w:cs="Arial"/>
          <w:b/>
          <w:sz w:val="18"/>
          <w:szCs w:val="18"/>
        </w:rPr>
        <w:t xml:space="preserve"> (NOR)</w:t>
      </w:r>
      <w:r w:rsidRPr="00E76A27">
        <w:rPr>
          <w:rFonts w:cs="Arial"/>
          <w:b/>
          <w:sz w:val="18"/>
          <w:szCs w:val="18"/>
        </w:rPr>
        <w:t xml:space="preserve"> vs Commission</w:t>
      </w:r>
      <w:r>
        <w:rPr>
          <w:rFonts w:cs="Arial"/>
          <w:b/>
          <w:sz w:val="18"/>
          <w:szCs w:val="18"/>
        </w:rPr>
        <w:t>ed</w:t>
      </w:r>
      <w:r w:rsidRPr="00E76A27">
        <w:rPr>
          <w:rFonts w:cs="Arial"/>
          <w:b/>
          <w:sz w:val="18"/>
          <w:szCs w:val="18"/>
        </w:rPr>
        <w:t xml:space="preserve"> Capacity</w:t>
      </w:r>
    </w:p>
    <w:p w14:paraId="5FEA9249" w14:textId="66B08B91" w:rsidR="00990383" w:rsidRPr="008469DA" w:rsidRDefault="00990383" w:rsidP="00F00E83">
      <w:pPr>
        <w:widowControl w:val="0"/>
        <w:spacing w:after="0" w:line="240" w:lineRule="auto"/>
        <w:ind w:right="256"/>
        <w:jc w:val="both"/>
        <w:rPr>
          <w:rFonts w:cs="Arial"/>
          <w:spacing w:val="-3"/>
        </w:rPr>
      </w:pPr>
      <w:r>
        <w:rPr>
          <w:rFonts w:cs="Arial"/>
          <w:spacing w:val="-3"/>
        </w:rPr>
        <w:t xml:space="preserve">Highshore School is a secondary school with an additional sixth form provision, supporting children and young people from Key Stage 3 to Key Stage 5.  </w:t>
      </w:r>
      <w:r w:rsidRPr="00A52004">
        <w:rPr>
          <w:rFonts w:cs="Arial"/>
          <w:spacing w:val="-3"/>
        </w:rPr>
        <w:t xml:space="preserve">The school </w:t>
      </w:r>
      <w:r>
        <w:rPr>
          <w:rFonts w:cs="Arial"/>
          <w:spacing w:val="-3"/>
        </w:rPr>
        <w:t xml:space="preserve">was designed to accommodate 90 pupils and is </w:t>
      </w:r>
      <w:r w:rsidRPr="00A52004">
        <w:rPr>
          <w:rFonts w:cs="Arial"/>
          <w:spacing w:val="-3"/>
        </w:rPr>
        <w:t>currently commissioned to provide 152 places</w:t>
      </w:r>
      <w:r>
        <w:rPr>
          <w:rFonts w:cs="Arial"/>
          <w:spacing w:val="-3"/>
        </w:rPr>
        <w:t>. The school currently has</w:t>
      </w:r>
      <w:r w:rsidRPr="00A52004">
        <w:rPr>
          <w:rFonts w:cs="Arial"/>
          <w:spacing w:val="-3"/>
        </w:rPr>
        <w:t xml:space="preserve"> </w:t>
      </w:r>
      <w:r w:rsidR="00572D97">
        <w:rPr>
          <w:rFonts w:cs="Arial"/>
          <w:spacing w:val="-3"/>
        </w:rPr>
        <w:t>168</w:t>
      </w:r>
      <w:r w:rsidRPr="00A52004">
        <w:rPr>
          <w:rFonts w:cs="Arial"/>
          <w:spacing w:val="-3"/>
        </w:rPr>
        <w:t xml:space="preserve"> pupils on its school roll</w:t>
      </w:r>
      <w:r w:rsidR="00572D97">
        <w:rPr>
          <w:rFonts w:cs="Arial"/>
          <w:spacing w:val="-3"/>
        </w:rPr>
        <w:t>.</w:t>
      </w:r>
    </w:p>
    <w:p w14:paraId="20CC2319" w14:textId="77777777" w:rsidR="00990383" w:rsidRDefault="00990383" w:rsidP="00F00E83">
      <w:pPr>
        <w:widowControl w:val="0"/>
        <w:spacing w:after="0" w:line="240" w:lineRule="auto"/>
        <w:ind w:right="256"/>
        <w:jc w:val="both"/>
        <w:rPr>
          <w:rFonts w:cs="Arial"/>
          <w:spacing w:val="-3"/>
        </w:rPr>
      </w:pPr>
    </w:p>
    <w:p w14:paraId="63457682" w14:textId="792DBA68" w:rsidR="00990383" w:rsidRDefault="00990383" w:rsidP="00F00E83">
      <w:pPr>
        <w:widowControl w:val="0"/>
        <w:spacing w:after="0" w:line="240" w:lineRule="auto"/>
        <w:ind w:right="256"/>
        <w:jc w:val="both"/>
        <w:rPr>
          <w:rFonts w:cs="Arial"/>
          <w:spacing w:val="-3"/>
        </w:rPr>
      </w:pPr>
      <w:r>
        <w:rPr>
          <w:rFonts w:cs="Arial"/>
          <w:spacing w:val="-3"/>
        </w:rPr>
        <w:t>The s</w:t>
      </w:r>
      <w:r w:rsidRPr="009F1F9C">
        <w:rPr>
          <w:rFonts w:cs="Arial"/>
          <w:spacing w:val="-3"/>
        </w:rPr>
        <w:t xml:space="preserve">chool </w:t>
      </w:r>
      <w:r>
        <w:rPr>
          <w:rFonts w:cs="Arial"/>
          <w:spacing w:val="-3"/>
        </w:rPr>
        <w:t xml:space="preserve">is mixed gender community special school situated in Camberwell in the Camberwell Green ward.  The school is registered with the Department for Education (DfE) to support children with a range of needs, </w:t>
      </w:r>
      <w:proofErr w:type="gramStart"/>
      <w:r>
        <w:rPr>
          <w:rFonts w:cs="Arial"/>
          <w:spacing w:val="-3"/>
        </w:rPr>
        <w:t>including;</w:t>
      </w:r>
      <w:proofErr w:type="gramEnd"/>
    </w:p>
    <w:p w14:paraId="609B1854" w14:textId="77777777" w:rsidR="00990383" w:rsidRDefault="00990383" w:rsidP="00F00E83">
      <w:pPr>
        <w:widowControl w:val="0"/>
        <w:spacing w:after="0" w:line="240" w:lineRule="auto"/>
        <w:ind w:right="256"/>
        <w:jc w:val="both"/>
        <w:rPr>
          <w:rFonts w:cs="Arial"/>
          <w:spacing w:val="-3"/>
        </w:rPr>
      </w:pPr>
    </w:p>
    <w:p w14:paraId="69D3DDC9" w14:textId="77777777" w:rsidR="00990383" w:rsidRPr="008C3AD3" w:rsidRDefault="00990383" w:rsidP="00F00E83">
      <w:pPr>
        <w:widowControl w:val="0"/>
        <w:numPr>
          <w:ilvl w:val="1"/>
          <w:numId w:val="2"/>
        </w:numPr>
        <w:spacing w:after="240" w:line="240" w:lineRule="auto"/>
        <w:ind w:right="256" w:hanging="297"/>
        <w:jc w:val="both"/>
        <w:rPr>
          <w:rFonts w:cs="Arial"/>
          <w:spacing w:val="-3"/>
        </w:rPr>
      </w:pPr>
      <w:r>
        <w:rPr>
          <w:rFonts w:cs="Arial"/>
          <w:spacing w:val="-3"/>
        </w:rPr>
        <w:t>Specific l</w:t>
      </w:r>
      <w:r w:rsidRPr="008C3AD3">
        <w:rPr>
          <w:rFonts w:cs="Arial"/>
          <w:spacing w:val="-3"/>
        </w:rPr>
        <w:t xml:space="preserve">earning </w:t>
      </w:r>
      <w:r>
        <w:rPr>
          <w:rFonts w:cs="Arial"/>
          <w:spacing w:val="-3"/>
        </w:rPr>
        <w:t>d</w:t>
      </w:r>
      <w:r w:rsidRPr="008C3AD3">
        <w:rPr>
          <w:rFonts w:cs="Arial"/>
          <w:spacing w:val="-3"/>
        </w:rPr>
        <w:t>ifficulty</w:t>
      </w:r>
    </w:p>
    <w:p w14:paraId="7FF058EF" w14:textId="77777777" w:rsidR="00990383" w:rsidRDefault="00990383" w:rsidP="00F00E83">
      <w:pPr>
        <w:widowControl w:val="0"/>
        <w:numPr>
          <w:ilvl w:val="1"/>
          <w:numId w:val="2"/>
        </w:numPr>
        <w:spacing w:after="240" w:line="240" w:lineRule="auto"/>
        <w:ind w:right="256" w:hanging="297"/>
        <w:jc w:val="both"/>
        <w:rPr>
          <w:rFonts w:cs="Arial"/>
          <w:spacing w:val="-3"/>
        </w:rPr>
      </w:pPr>
      <w:r>
        <w:rPr>
          <w:rFonts w:cs="Arial"/>
          <w:spacing w:val="-3"/>
        </w:rPr>
        <w:t>Visual impairment</w:t>
      </w:r>
    </w:p>
    <w:p w14:paraId="4290BEC3" w14:textId="77777777" w:rsidR="00990383" w:rsidRDefault="00990383" w:rsidP="00F00E83">
      <w:pPr>
        <w:widowControl w:val="0"/>
        <w:numPr>
          <w:ilvl w:val="1"/>
          <w:numId w:val="2"/>
        </w:numPr>
        <w:spacing w:after="240" w:line="240" w:lineRule="auto"/>
        <w:ind w:right="256" w:hanging="297"/>
        <w:jc w:val="both"/>
        <w:rPr>
          <w:rFonts w:cs="Arial"/>
          <w:spacing w:val="-3"/>
        </w:rPr>
      </w:pPr>
      <w:r>
        <w:rPr>
          <w:rFonts w:cs="Arial"/>
          <w:spacing w:val="-3"/>
        </w:rPr>
        <w:t>Other difficulty/disability</w:t>
      </w:r>
    </w:p>
    <w:p w14:paraId="45F31515" w14:textId="77777777" w:rsidR="00990383" w:rsidRDefault="00990383" w:rsidP="00F00E83">
      <w:pPr>
        <w:widowControl w:val="0"/>
        <w:numPr>
          <w:ilvl w:val="1"/>
          <w:numId w:val="2"/>
        </w:numPr>
        <w:spacing w:after="240" w:line="240" w:lineRule="auto"/>
        <w:ind w:right="256" w:hanging="297"/>
        <w:jc w:val="both"/>
        <w:rPr>
          <w:rFonts w:cs="Arial"/>
          <w:spacing w:val="-3"/>
        </w:rPr>
      </w:pPr>
      <w:r>
        <w:rPr>
          <w:rFonts w:cs="Arial"/>
          <w:spacing w:val="-3"/>
        </w:rPr>
        <w:t>Hearing impairment</w:t>
      </w:r>
    </w:p>
    <w:p w14:paraId="197CA318" w14:textId="77777777" w:rsidR="00990383" w:rsidRDefault="00990383" w:rsidP="00F00E83">
      <w:pPr>
        <w:widowControl w:val="0"/>
        <w:numPr>
          <w:ilvl w:val="1"/>
          <w:numId w:val="2"/>
        </w:numPr>
        <w:spacing w:after="240" w:line="240" w:lineRule="auto"/>
        <w:ind w:right="256" w:hanging="297"/>
        <w:jc w:val="both"/>
        <w:rPr>
          <w:rFonts w:cs="Arial"/>
          <w:spacing w:val="-3"/>
        </w:rPr>
      </w:pPr>
      <w:r>
        <w:rPr>
          <w:rFonts w:cs="Arial"/>
          <w:spacing w:val="-3"/>
        </w:rPr>
        <w:t>Speech, language and communication</w:t>
      </w:r>
    </w:p>
    <w:p w14:paraId="5D8988BD" w14:textId="77777777" w:rsidR="00990383" w:rsidRDefault="00990383" w:rsidP="00F00E83">
      <w:pPr>
        <w:widowControl w:val="0"/>
        <w:numPr>
          <w:ilvl w:val="1"/>
          <w:numId w:val="2"/>
        </w:numPr>
        <w:spacing w:after="240" w:line="240" w:lineRule="auto"/>
        <w:ind w:right="256" w:hanging="297"/>
        <w:jc w:val="both"/>
        <w:rPr>
          <w:rFonts w:cs="Arial"/>
          <w:spacing w:val="-3"/>
        </w:rPr>
      </w:pPr>
      <w:r>
        <w:rPr>
          <w:rFonts w:cs="Arial"/>
          <w:spacing w:val="-3"/>
        </w:rPr>
        <w:t>Autistic spectrum condition</w:t>
      </w:r>
    </w:p>
    <w:p w14:paraId="004F9D45" w14:textId="77777777" w:rsidR="00990383" w:rsidRDefault="00990383" w:rsidP="00F00E83">
      <w:pPr>
        <w:widowControl w:val="0"/>
        <w:numPr>
          <w:ilvl w:val="1"/>
          <w:numId w:val="2"/>
        </w:numPr>
        <w:spacing w:after="240" w:line="240" w:lineRule="auto"/>
        <w:ind w:right="256" w:hanging="297"/>
        <w:jc w:val="both"/>
        <w:rPr>
          <w:rFonts w:cs="Arial"/>
          <w:spacing w:val="-3"/>
        </w:rPr>
      </w:pPr>
      <w:r>
        <w:rPr>
          <w:rFonts w:cs="Arial"/>
          <w:spacing w:val="-3"/>
        </w:rPr>
        <w:t>Multi-sensory impairment</w:t>
      </w:r>
    </w:p>
    <w:p w14:paraId="0951150B" w14:textId="77777777" w:rsidR="00990383" w:rsidRDefault="00990383" w:rsidP="00F00E83">
      <w:pPr>
        <w:widowControl w:val="0"/>
        <w:numPr>
          <w:ilvl w:val="1"/>
          <w:numId w:val="2"/>
        </w:numPr>
        <w:spacing w:after="240" w:line="240" w:lineRule="auto"/>
        <w:ind w:right="256" w:hanging="297"/>
        <w:jc w:val="both"/>
        <w:rPr>
          <w:rFonts w:cs="Arial"/>
          <w:spacing w:val="-3"/>
        </w:rPr>
      </w:pPr>
      <w:r>
        <w:rPr>
          <w:rFonts w:cs="Arial"/>
          <w:spacing w:val="-3"/>
        </w:rPr>
        <w:t>Physical disability</w:t>
      </w:r>
    </w:p>
    <w:p w14:paraId="06A10A96" w14:textId="77777777" w:rsidR="00990383" w:rsidRDefault="00990383" w:rsidP="00F00E83">
      <w:pPr>
        <w:widowControl w:val="0"/>
        <w:numPr>
          <w:ilvl w:val="1"/>
          <w:numId w:val="2"/>
        </w:numPr>
        <w:spacing w:after="240" w:line="240" w:lineRule="auto"/>
        <w:ind w:right="256" w:hanging="297"/>
        <w:jc w:val="both"/>
        <w:rPr>
          <w:rFonts w:cs="Arial"/>
          <w:spacing w:val="-3"/>
        </w:rPr>
      </w:pPr>
      <w:r>
        <w:rPr>
          <w:rFonts w:cs="Arial"/>
          <w:spacing w:val="-3"/>
        </w:rPr>
        <w:t>Moderate learning difficulty</w:t>
      </w:r>
    </w:p>
    <w:p w14:paraId="6B1FD833" w14:textId="77777777" w:rsidR="00990383" w:rsidRDefault="00990383" w:rsidP="00F00E83">
      <w:pPr>
        <w:widowControl w:val="0"/>
        <w:numPr>
          <w:ilvl w:val="1"/>
          <w:numId w:val="2"/>
        </w:numPr>
        <w:spacing w:after="240" w:line="240" w:lineRule="auto"/>
        <w:ind w:right="256" w:hanging="297"/>
        <w:jc w:val="both"/>
        <w:rPr>
          <w:rFonts w:cs="Arial"/>
          <w:spacing w:val="-3"/>
        </w:rPr>
      </w:pPr>
      <w:r>
        <w:rPr>
          <w:rFonts w:cs="Arial"/>
          <w:spacing w:val="-3"/>
        </w:rPr>
        <w:t>Severe learning difficulty</w:t>
      </w:r>
    </w:p>
    <w:p w14:paraId="3FB6048E" w14:textId="77777777" w:rsidR="00990383" w:rsidRPr="00B97A83" w:rsidRDefault="00990383" w:rsidP="00F00E83">
      <w:pPr>
        <w:widowControl w:val="0"/>
        <w:numPr>
          <w:ilvl w:val="1"/>
          <w:numId w:val="2"/>
        </w:numPr>
        <w:spacing w:after="240" w:line="240" w:lineRule="auto"/>
        <w:ind w:right="256" w:hanging="297"/>
        <w:jc w:val="both"/>
        <w:rPr>
          <w:rFonts w:cs="Arial"/>
          <w:spacing w:val="-3"/>
        </w:rPr>
      </w:pPr>
      <w:r>
        <w:rPr>
          <w:rFonts w:cs="Arial"/>
          <w:spacing w:val="-3"/>
        </w:rPr>
        <w:t>Profound and multiple learning difficulty.</w:t>
      </w:r>
    </w:p>
    <w:p w14:paraId="44D9A16A" w14:textId="77777777" w:rsidR="00990383" w:rsidRDefault="00990383" w:rsidP="00F00E83">
      <w:pPr>
        <w:widowControl w:val="0"/>
        <w:spacing w:after="0" w:line="240" w:lineRule="auto"/>
        <w:ind w:right="256"/>
        <w:jc w:val="both"/>
        <w:rPr>
          <w:rFonts w:cs="Arial"/>
          <w:spacing w:val="-3"/>
        </w:rPr>
      </w:pPr>
      <w:r>
        <w:rPr>
          <w:rFonts w:cs="Arial"/>
          <w:spacing w:val="-3"/>
        </w:rPr>
        <w:t>The primary cohort of children in the school are those with ASC, with comorbidities of the broader range of needs above.</w:t>
      </w:r>
    </w:p>
    <w:p w14:paraId="010A5669" w14:textId="77777777" w:rsidR="0001222F" w:rsidRDefault="0001222F" w:rsidP="00F00E83">
      <w:pPr>
        <w:widowControl w:val="0"/>
        <w:spacing w:after="0" w:line="240" w:lineRule="auto"/>
        <w:ind w:right="256"/>
        <w:jc w:val="both"/>
        <w:rPr>
          <w:rFonts w:cs="Arial"/>
          <w:spacing w:val="-3"/>
        </w:rPr>
      </w:pPr>
    </w:p>
    <w:p w14:paraId="4B492A85" w14:textId="4E686B02" w:rsidR="0001222F" w:rsidRDefault="0001222F" w:rsidP="00F00E83">
      <w:pPr>
        <w:widowControl w:val="0"/>
        <w:spacing w:after="0" w:line="240" w:lineRule="auto"/>
        <w:ind w:right="256"/>
        <w:jc w:val="both"/>
        <w:rPr>
          <w:rFonts w:cs="Arial"/>
          <w:spacing w:val="-3"/>
        </w:rPr>
      </w:pPr>
      <w:r>
        <w:rPr>
          <w:rFonts w:cs="Arial"/>
          <w:spacing w:val="-3"/>
        </w:rPr>
        <w:t>Based on the existing gap in local places and the breadth of support offered through the school, a proposal has been developed to expand the school to a satellite site.</w:t>
      </w:r>
    </w:p>
    <w:p w14:paraId="17C9977C" w14:textId="77777777" w:rsidR="00AF3271" w:rsidRDefault="00AF3271" w:rsidP="00F00E83">
      <w:pPr>
        <w:widowControl w:val="0"/>
        <w:spacing w:after="0" w:line="240" w:lineRule="auto"/>
        <w:ind w:right="256"/>
        <w:jc w:val="both"/>
        <w:rPr>
          <w:rFonts w:cs="Arial"/>
          <w:spacing w:val="-3"/>
        </w:rPr>
      </w:pPr>
    </w:p>
    <w:p w14:paraId="1F9A4510" w14:textId="5B8550EA" w:rsidR="0009794C" w:rsidRPr="0009794C" w:rsidRDefault="0009794C" w:rsidP="00F00E83">
      <w:pPr>
        <w:tabs>
          <w:tab w:val="left" w:pos="-720"/>
          <w:tab w:val="left" w:pos="0"/>
        </w:tabs>
        <w:suppressAutoHyphens/>
        <w:jc w:val="both"/>
        <w:rPr>
          <w:rFonts w:cs="Arial"/>
          <w:bCs/>
          <w:spacing w:val="-3"/>
        </w:rPr>
      </w:pPr>
      <w:r w:rsidRPr="0009794C">
        <w:rPr>
          <w:rFonts w:cs="Arial"/>
          <w:bCs/>
          <w:spacing w:val="-3"/>
        </w:rPr>
        <w:t>Comber Grove Primary School closed in August 2024 due to falling pupil numbers</w:t>
      </w:r>
      <w:r>
        <w:rPr>
          <w:rFonts w:cs="Arial"/>
          <w:bCs/>
          <w:spacing w:val="-3"/>
        </w:rPr>
        <w:t xml:space="preserve"> it</w:t>
      </w:r>
      <w:r w:rsidRPr="0009794C">
        <w:rPr>
          <w:rFonts w:cs="Arial"/>
          <w:bCs/>
          <w:spacing w:val="-3"/>
        </w:rPr>
        <w:t xml:space="preserve"> is just an 8-minute walk away from the current Highshore School, meaning the two sites will be able to share resources and staff, and offer a </w:t>
      </w:r>
      <w:proofErr w:type="gramStart"/>
      <w:r w:rsidRPr="0009794C">
        <w:rPr>
          <w:rFonts w:cs="Arial"/>
          <w:bCs/>
          <w:spacing w:val="-3"/>
        </w:rPr>
        <w:t>really strong</w:t>
      </w:r>
      <w:proofErr w:type="gramEnd"/>
      <w:r w:rsidRPr="0009794C">
        <w:rPr>
          <w:rFonts w:cs="Arial"/>
          <w:bCs/>
          <w:spacing w:val="-3"/>
        </w:rPr>
        <w:t xml:space="preserve"> integrated offer for pupils.  The closeness of the two schools will also mean travel arrangements and routes for pupils will be very similar.</w:t>
      </w:r>
    </w:p>
    <w:p w14:paraId="6EEEBF2E" w14:textId="643BB56F" w:rsidR="0031724C" w:rsidRDefault="0009794C" w:rsidP="00F00E83">
      <w:pPr>
        <w:tabs>
          <w:tab w:val="left" w:pos="-720"/>
          <w:tab w:val="left" w:pos="0"/>
        </w:tabs>
        <w:suppressAutoHyphens/>
        <w:jc w:val="both"/>
        <w:rPr>
          <w:rFonts w:cs="Arial"/>
          <w:bCs/>
          <w:spacing w:val="-3"/>
        </w:rPr>
      </w:pPr>
      <w:r w:rsidRPr="0009794C">
        <w:rPr>
          <w:rFonts w:cs="Arial"/>
          <w:bCs/>
          <w:spacing w:val="-3"/>
        </w:rPr>
        <w:t xml:space="preserve">Comber Grove is an old Victorian school </w:t>
      </w:r>
      <w:r>
        <w:rPr>
          <w:rFonts w:cs="Arial"/>
          <w:bCs/>
          <w:spacing w:val="-3"/>
        </w:rPr>
        <w:t xml:space="preserve">which </w:t>
      </w:r>
      <w:r w:rsidRPr="0009794C">
        <w:rPr>
          <w:rFonts w:cs="Arial"/>
          <w:bCs/>
          <w:spacing w:val="-3"/>
        </w:rPr>
        <w:t xml:space="preserve">will need investment to make it a fully modern specialist school.  </w:t>
      </w:r>
      <w:r>
        <w:rPr>
          <w:rFonts w:cs="Arial"/>
          <w:bCs/>
          <w:spacing w:val="-3"/>
        </w:rPr>
        <w:t xml:space="preserve">Detailed feasibility studies have been </w:t>
      </w:r>
      <w:r w:rsidR="0031724C">
        <w:rPr>
          <w:rFonts w:cs="Arial"/>
          <w:bCs/>
          <w:spacing w:val="-3"/>
        </w:rPr>
        <w:t>undertaken on both possible design options for the school, which provide estimate costs of £5m - 7m.  These costs will be met by the council</w:t>
      </w:r>
      <w:r w:rsidR="00B95B40">
        <w:rPr>
          <w:rFonts w:cs="Arial"/>
          <w:bCs/>
          <w:spacing w:val="-3"/>
        </w:rPr>
        <w:t>'</w:t>
      </w:r>
      <w:r w:rsidR="0031724C">
        <w:rPr>
          <w:rFonts w:cs="Arial"/>
          <w:bCs/>
          <w:spacing w:val="-3"/>
        </w:rPr>
        <w:t>s high needs capital allocation, provided by government.</w:t>
      </w:r>
    </w:p>
    <w:p w14:paraId="3EA42CB7" w14:textId="58294CEF" w:rsidR="00CF7CD9" w:rsidRDefault="0031724C" w:rsidP="00F00E83">
      <w:pPr>
        <w:tabs>
          <w:tab w:val="left" w:pos="-720"/>
          <w:tab w:val="left" w:pos="0"/>
        </w:tabs>
        <w:suppressAutoHyphens/>
        <w:jc w:val="both"/>
        <w:rPr>
          <w:rFonts w:cs="Arial"/>
          <w:color w:val="000000" w:themeColor="text1"/>
          <w:spacing w:val="-3"/>
        </w:rPr>
      </w:pPr>
      <w:r>
        <w:rPr>
          <w:rFonts w:cs="Arial"/>
          <w:bCs/>
          <w:spacing w:val="-3"/>
        </w:rPr>
        <w:t>I</w:t>
      </w:r>
      <w:r w:rsidR="00CF7CD9">
        <w:rPr>
          <w:rFonts w:cs="Arial"/>
          <w:color w:val="000000" w:themeColor="text1"/>
          <w:spacing w:val="-3"/>
        </w:rPr>
        <w:t xml:space="preserve">nsufficient local special school capacity leads to pressure on the dedicated schools grant due to the reliance on high cost out of borough independent specialist placements for children who could otherwise be educated in local provision. </w:t>
      </w:r>
    </w:p>
    <w:p w14:paraId="028FE95D" w14:textId="77777777" w:rsidR="00374485" w:rsidRDefault="00374485" w:rsidP="00F00E83">
      <w:pPr>
        <w:tabs>
          <w:tab w:val="left" w:pos="-720"/>
          <w:tab w:val="left" w:pos="0"/>
        </w:tabs>
        <w:suppressAutoHyphens/>
        <w:jc w:val="both"/>
        <w:rPr>
          <w:rFonts w:cs="Arial"/>
          <w:color w:val="000000" w:themeColor="text1"/>
          <w:spacing w:val="-3"/>
        </w:rPr>
      </w:pPr>
    </w:p>
    <w:p w14:paraId="7EB73E01" w14:textId="77777777" w:rsidR="00374485" w:rsidRPr="0031724C" w:rsidRDefault="00374485" w:rsidP="00F00E83">
      <w:pPr>
        <w:tabs>
          <w:tab w:val="left" w:pos="-720"/>
          <w:tab w:val="left" w:pos="0"/>
        </w:tabs>
        <w:suppressAutoHyphens/>
        <w:jc w:val="both"/>
        <w:rPr>
          <w:rFonts w:cs="Arial"/>
          <w:bCs/>
          <w:spacing w:val="-3"/>
        </w:rPr>
      </w:pPr>
    </w:p>
    <w:p w14:paraId="2B220E38" w14:textId="77777777" w:rsidR="00CF7CD9" w:rsidRPr="000D0511" w:rsidRDefault="00CF7CD9" w:rsidP="00F00E83">
      <w:pPr>
        <w:widowControl w:val="0"/>
        <w:spacing w:after="0" w:line="240" w:lineRule="auto"/>
        <w:jc w:val="both"/>
        <w:rPr>
          <w:rFonts w:cs="Arial"/>
          <w:color w:val="000000" w:themeColor="text1"/>
          <w:spacing w:val="-3"/>
        </w:rPr>
      </w:pPr>
      <w:r>
        <w:rPr>
          <w:rFonts w:cs="Arial"/>
          <w:color w:val="000000" w:themeColor="text1"/>
          <w:spacing w:val="-3"/>
        </w:rPr>
        <w:t>Additionally, the use of out of borough placements places a pressure on the council’s revenue budget due to the requirement to provide home to school transport for these pupils.  More in borough placements will also lead to decreases in these costs.</w:t>
      </w:r>
    </w:p>
    <w:p w14:paraId="6E15FE42" w14:textId="77777777" w:rsidR="0031724C" w:rsidRDefault="0031724C" w:rsidP="00F00E83">
      <w:pPr>
        <w:widowControl w:val="0"/>
        <w:spacing w:after="0" w:line="240" w:lineRule="auto"/>
        <w:jc w:val="both"/>
        <w:rPr>
          <w:rFonts w:cs="Arial"/>
          <w:color w:val="000000" w:themeColor="text1"/>
          <w:spacing w:val="-3"/>
        </w:rPr>
      </w:pPr>
    </w:p>
    <w:p w14:paraId="0CEA228F" w14:textId="26FE704E" w:rsidR="00CF7CD9" w:rsidRPr="007F6227" w:rsidRDefault="0031724C" w:rsidP="00F00E83">
      <w:pPr>
        <w:widowControl w:val="0"/>
        <w:spacing w:after="0" w:line="240" w:lineRule="auto"/>
        <w:jc w:val="both"/>
        <w:rPr>
          <w:rFonts w:cs="Arial"/>
          <w:color w:val="000000" w:themeColor="text1"/>
          <w:spacing w:val="-3"/>
        </w:rPr>
      </w:pPr>
      <w:r>
        <w:rPr>
          <w:rFonts w:cs="Arial"/>
          <w:color w:val="000000" w:themeColor="text1"/>
          <w:spacing w:val="-3"/>
        </w:rPr>
        <w:t>The proposals will deliver long term value for money in reduce costs for pupil places and transport costs.</w:t>
      </w:r>
    </w:p>
    <w:p w14:paraId="055C7013" w14:textId="77777777" w:rsidR="00CF7CD9" w:rsidRPr="00A5706A" w:rsidRDefault="00CF7CD9" w:rsidP="00F00E83">
      <w:pPr>
        <w:pStyle w:val="ListParagraph"/>
        <w:jc w:val="both"/>
        <w:rPr>
          <w:rFonts w:cs="Arial"/>
          <w:color w:val="000000" w:themeColor="text1"/>
          <w:spacing w:val="-3"/>
        </w:rPr>
      </w:pPr>
    </w:p>
    <w:p w14:paraId="51B3E784" w14:textId="6B5E1749" w:rsidR="00334DA5" w:rsidRDefault="00B95B40" w:rsidP="00F00E83">
      <w:pPr>
        <w:jc w:val="both"/>
        <w:rPr>
          <w:b/>
          <w:bCs/>
        </w:rPr>
      </w:pPr>
      <w:r>
        <w:rPr>
          <w:b/>
          <w:bCs/>
        </w:rPr>
        <w:t>4. Impact on other educational institutions within the area</w:t>
      </w:r>
    </w:p>
    <w:p w14:paraId="6A0E6FB7" w14:textId="1975B821" w:rsidR="00B95B40" w:rsidRDefault="00BF63CB" w:rsidP="00F00E83">
      <w:pPr>
        <w:jc w:val="both"/>
      </w:pPr>
      <w:r>
        <w:t xml:space="preserve">Due to the existing gap in available provision locally the council does not consider that these proposals will have a negative impact on any other local educational institutions within the </w:t>
      </w:r>
      <w:proofErr w:type="gramStart"/>
      <w:r>
        <w:t>area, and</w:t>
      </w:r>
      <w:proofErr w:type="gramEnd"/>
      <w:r>
        <w:t xml:space="preserve"> will positively support pupils to be educated closer to home.</w:t>
      </w:r>
    </w:p>
    <w:p w14:paraId="419ADE3E" w14:textId="38D29E69" w:rsidR="00BF63CB" w:rsidRDefault="00BF63CB" w:rsidP="00F00E83">
      <w:pPr>
        <w:jc w:val="both"/>
      </w:pPr>
      <w:r>
        <w:t>As a part of developing these proposals there has been open discussion with the community of schools in Southwark.</w:t>
      </w:r>
    </w:p>
    <w:p w14:paraId="78DC1F21" w14:textId="77777777" w:rsidR="00F25DE5" w:rsidRDefault="00F25DE5" w:rsidP="00F00E83">
      <w:pPr>
        <w:jc w:val="both"/>
      </w:pPr>
    </w:p>
    <w:p w14:paraId="0885614C" w14:textId="19FC20A5" w:rsidR="00AB66D1" w:rsidRDefault="00AB66D1" w:rsidP="00F00E83">
      <w:pPr>
        <w:jc w:val="both"/>
        <w:rPr>
          <w:b/>
          <w:bCs/>
        </w:rPr>
      </w:pPr>
      <w:r w:rsidRPr="00AB66D1">
        <w:rPr>
          <w:b/>
          <w:bCs/>
        </w:rPr>
        <w:t>5</w:t>
      </w:r>
      <w:r>
        <w:rPr>
          <w:b/>
          <w:bCs/>
        </w:rPr>
        <w:t>. Implementation Plan</w:t>
      </w:r>
    </w:p>
    <w:p w14:paraId="650463C6" w14:textId="27F0CCCA" w:rsidR="00F25DE5" w:rsidRPr="00F25DE5" w:rsidRDefault="00F25DE5" w:rsidP="00F00E83">
      <w:pPr>
        <w:jc w:val="both"/>
      </w:pPr>
      <w:r w:rsidRPr="00F25DE5">
        <w:t xml:space="preserve">This consultation will be open for 4-weeks until the </w:t>
      </w:r>
      <w:proofErr w:type="gramStart"/>
      <w:r w:rsidR="008522E5">
        <w:t>5</w:t>
      </w:r>
      <w:r w:rsidR="008522E5" w:rsidRPr="008522E5">
        <w:rPr>
          <w:vertAlign w:val="superscript"/>
        </w:rPr>
        <w:t>th</w:t>
      </w:r>
      <w:proofErr w:type="gramEnd"/>
      <w:r w:rsidR="008522E5">
        <w:t xml:space="preserve"> May 2025</w:t>
      </w:r>
      <w:r w:rsidRPr="00F25DE5">
        <w:t xml:space="preserve">. </w:t>
      </w:r>
    </w:p>
    <w:p w14:paraId="74747D11" w14:textId="67D6F2CE" w:rsidR="00F25DE5" w:rsidRPr="00F25DE5" w:rsidRDefault="00DE0BA3" w:rsidP="00F00E83">
      <w:pPr>
        <w:jc w:val="both"/>
      </w:pPr>
      <w:r>
        <w:t xml:space="preserve">A </w:t>
      </w:r>
      <w:r w:rsidR="00D40244">
        <w:t xml:space="preserve">proposal </w:t>
      </w:r>
      <w:r>
        <w:t>will be presented to the Council’s Cabinet on 17</w:t>
      </w:r>
      <w:r w:rsidRPr="00DE0BA3">
        <w:rPr>
          <w:vertAlign w:val="superscript"/>
        </w:rPr>
        <w:t>th</w:t>
      </w:r>
      <w:r>
        <w:t xml:space="preserve"> June 2025 for a final decision.</w:t>
      </w:r>
    </w:p>
    <w:p w14:paraId="33EEE2B9" w14:textId="46C72FAA" w:rsidR="00F25DE5" w:rsidRPr="00F25DE5" w:rsidRDefault="00F25DE5" w:rsidP="00F00E83">
      <w:pPr>
        <w:jc w:val="both"/>
      </w:pPr>
      <w:r w:rsidRPr="00F25DE5">
        <w:t xml:space="preserve">If </w:t>
      </w:r>
      <w:r w:rsidR="00DE0BA3">
        <w:t>agreed the council and school will work in partnership with the school community to finalise the designs for the school</w:t>
      </w:r>
    </w:p>
    <w:p w14:paraId="6E7C9C42" w14:textId="77777777" w:rsidR="00F25DE5" w:rsidRPr="00F25DE5" w:rsidRDefault="00F25DE5" w:rsidP="00F00E83">
      <w:pPr>
        <w:jc w:val="both"/>
      </w:pPr>
      <w:r w:rsidRPr="00F25DE5">
        <w:t>From Summer 2025 until Summer 2026 work will happen at Comber Grove to refurbish and renovate the school</w:t>
      </w:r>
    </w:p>
    <w:p w14:paraId="3D839400" w14:textId="4B0EF1AE" w:rsidR="00F25DE5" w:rsidRPr="00F25DE5" w:rsidRDefault="00DE0BA3" w:rsidP="00F00E83">
      <w:pPr>
        <w:jc w:val="both"/>
      </w:pPr>
      <w:r>
        <w:t>Subject to any programme delivery issues the new school site is proposed to open for September 2026.</w:t>
      </w:r>
    </w:p>
    <w:p w14:paraId="32BD323F" w14:textId="77777777" w:rsidR="00F00E83" w:rsidRDefault="00F00E83" w:rsidP="00F00E83">
      <w:pPr>
        <w:jc w:val="both"/>
        <w:rPr>
          <w:b/>
          <w:bCs/>
        </w:rPr>
      </w:pPr>
    </w:p>
    <w:p w14:paraId="4AC0D4EE" w14:textId="38D3DC74" w:rsidR="00334DA5" w:rsidRPr="00DE0BA3" w:rsidRDefault="00DE0BA3" w:rsidP="00F00E83">
      <w:pPr>
        <w:jc w:val="both"/>
        <w:rPr>
          <w:b/>
          <w:bCs/>
        </w:rPr>
      </w:pPr>
      <w:r>
        <w:rPr>
          <w:b/>
          <w:bCs/>
        </w:rPr>
        <w:t>6.</w:t>
      </w:r>
      <w:r w:rsidR="006B3C03">
        <w:rPr>
          <w:b/>
          <w:bCs/>
        </w:rPr>
        <w:t xml:space="preserve"> Procedure for making representations (support, objections and comments)</w:t>
      </w:r>
    </w:p>
    <w:p w14:paraId="1235F5C8" w14:textId="6C0116CB" w:rsidR="00FB08BE" w:rsidRDefault="00FB08BE" w:rsidP="00F00E83">
      <w:pPr>
        <w:jc w:val="both"/>
      </w:pPr>
      <w:r>
        <w:t xml:space="preserve">Within four weeks from the date of publication of this proposal, any person may make representations to support, object to, or comment on the proposal by visiting </w:t>
      </w:r>
      <w:hyperlink r:id="rId15" w:history="1">
        <w:r w:rsidRPr="00671934">
          <w:rPr>
            <w:rStyle w:val="Hyperlink"/>
          </w:rPr>
          <w:t>engage.southwark.gov.uk/en-GB/projects/highshore-expansion</w:t>
        </w:r>
      </w:hyperlink>
      <w:r>
        <w:t xml:space="preserve">, by emailing </w:t>
      </w:r>
      <w:hyperlink r:id="rId16" w:history="1">
        <w:r w:rsidRPr="007E70F1">
          <w:rPr>
            <w:rStyle w:val="Hyperlink"/>
          </w:rPr>
          <w:t>schoolcapitalprojects@southwark.gov.uk</w:t>
        </w:r>
      </w:hyperlink>
      <w:r>
        <w:t xml:space="preserve">  or by writing to: Education Capital Team, Hub 1, 4th Floor, Southwark Council, 160 Tooley Street, SE1 2TZ.</w:t>
      </w:r>
    </w:p>
    <w:p w14:paraId="69B92DCB" w14:textId="34EF2B85" w:rsidR="00863C39" w:rsidRDefault="00FB08BE" w:rsidP="00F00E83">
      <w:pPr>
        <w:jc w:val="both"/>
      </w:pPr>
      <w:r>
        <w:t xml:space="preserve">The closing date for receipt of responses to the representation period is 5 May 2025 at 5pm.  </w:t>
      </w:r>
    </w:p>
    <w:p w14:paraId="0689361A" w14:textId="701C37E1" w:rsidR="00F00E83" w:rsidRDefault="00F00E83" w:rsidP="00F00E83">
      <w:pPr>
        <w:jc w:val="both"/>
      </w:pPr>
      <w:r>
        <w:t xml:space="preserve">If you require this document in a different format, please email </w:t>
      </w:r>
      <w:hyperlink r:id="rId17" w:history="1">
        <w:r w:rsidRPr="007E70F1">
          <w:rPr>
            <w:rStyle w:val="Hyperlink"/>
          </w:rPr>
          <w:t>schoolcapitalprojects@southwark.gov.uk</w:t>
        </w:r>
      </w:hyperlink>
    </w:p>
    <w:sectPr w:rsidR="00F00E83" w:rsidSect="00FA75E2">
      <w:pgSz w:w="11906" w:h="16838"/>
      <w:pgMar w:top="709"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799C" w14:textId="77777777" w:rsidR="009757C0" w:rsidRDefault="009757C0" w:rsidP="00FA75E2">
      <w:pPr>
        <w:spacing w:after="0" w:line="240" w:lineRule="auto"/>
      </w:pPr>
      <w:r>
        <w:separator/>
      </w:r>
    </w:p>
  </w:endnote>
  <w:endnote w:type="continuationSeparator" w:id="0">
    <w:p w14:paraId="594DDE42" w14:textId="77777777" w:rsidR="009757C0" w:rsidRDefault="009757C0" w:rsidP="00FA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5446" w14:textId="77777777" w:rsidR="009757C0" w:rsidRDefault="009757C0" w:rsidP="00FA75E2">
      <w:pPr>
        <w:spacing w:after="0" w:line="240" w:lineRule="auto"/>
      </w:pPr>
      <w:r>
        <w:separator/>
      </w:r>
    </w:p>
  </w:footnote>
  <w:footnote w:type="continuationSeparator" w:id="0">
    <w:p w14:paraId="71BD9675" w14:textId="77777777" w:rsidR="009757C0" w:rsidRDefault="009757C0" w:rsidP="00FA7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7A62"/>
    <w:multiLevelType w:val="hybridMultilevel"/>
    <w:tmpl w:val="A078C906"/>
    <w:lvl w:ilvl="0" w:tplc="83EEA114">
      <w:start w:val="1"/>
      <w:numFmt w:val="decimal"/>
      <w:lvlText w:val="%1."/>
      <w:lvlJc w:val="left"/>
      <w:pPr>
        <w:tabs>
          <w:tab w:val="num" w:pos="720"/>
        </w:tabs>
        <w:ind w:left="720" w:hanging="360"/>
      </w:pPr>
    </w:lvl>
    <w:lvl w:ilvl="1" w:tplc="0B701E04" w:tentative="1">
      <w:start w:val="1"/>
      <w:numFmt w:val="decimal"/>
      <w:lvlText w:val="%2."/>
      <w:lvlJc w:val="left"/>
      <w:pPr>
        <w:tabs>
          <w:tab w:val="num" w:pos="1440"/>
        </w:tabs>
        <w:ind w:left="1440" w:hanging="360"/>
      </w:pPr>
    </w:lvl>
    <w:lvl w:ilvl="2" w:tplc="C4266CC0" w:tentative="1">
      <w:start w:val="1"/>
      <w:numFmt w:val="decimal"/>
      <w:lvlText w:val="%3."/>
      <w:lvlJc w:val="left"/>
      <w:pPr>
        <w:tabs>
          <w:tab w:val="num" w:pos="2160"/>
        </w:tabs>
        <w:ind w:left="2160" w:hanging="360"/>
      </w:pPr>
    </w:lvl>
    <w:lvl w:ilvl="3" w:tplc="72269AEC" w:tentative="1">
      <w:start w:val="1"/>
      <w:numFmt w:val="decimal"/>
      <w:lvlText w:val="%4."/>
      <w:lvlJc w:val="left"/>
      <w:pPr>
        <w:tabs>
          <w:tab w:val="num" w:pos="2880"/>
        </w:tabs>
        <w:ind w:left="2880" w:hanging="360"/>
      </w:pPr>
    </w:lvl>
    <w:lvl w:ilvl="4" w:tplc="F676D6CC" w:tentative="1">
      <w:start w:val="1"/>
      <w:numFmt w:val="decimal"/>
      <w:lvlText w:val="%5."/>
      <w:lvlJc w:val="left"/>
      <w:pPr>
        <w:tabs>
          <w:tab w:val="num" w:pos="3600"/>
        </w:tabs>
        <w:ind w:left="3600" w:hanging="360"/>
      </w:pPr>
    </w:lvl>
    <w:lvl w:ilvl="5" w:tplc="D026E490" w:tentative="1">
      <w:start w:val="1"/>
      <w:numFmt w:val="decimal"/>
      <w:lvlText w:val="%6."/>
      <w:lvlJc w:val="left"/>
      <w:pPr>
        <w:tabs>
          <w:tab w:val="num" w:pos="4320"/>
        </w:tabs>
        <w:ind w:left="4320" w:hanging="360"/>
      </w:pPr>
    </w:lvl>
    <w:lvl w:ilvl="6" w:tplc="19180720" w:tentative="1">
      <w:start w:val="1"/>
      <w:numFmt w:val="decimal"/>
      <w:lvlText w:val="%7."/>
      <w:lvlJc w:val="left"/>
      <w:pPr>
        <w:tabs>
          <w:tab w:val="num" w:pos="5040"/>
        </w:tabs>
        <w:ind w:left="5040" w:hanging="360"/>
      </w:pPr>
    </w:lvl>
    <w:lvl w:ilvl="7" w:tplc="D0EEFB14" w:tentative="1">
      <w:start w:val="1"/>
      <w:numFmt w:val="decimal"/>
      <w:lvlText w:val="%8."/>
      <w:lvlJc w:val="left"/>
      <w:pPr>
        <w:tabs>
          <w:tab w:val="num" w:pos="5760"/>
        </w:tabs>
        <w:ind w:left="5760" w:hanging="360"/>
      </w:pPr>
    </w:lvl>
    <w:lvl w:ilvl="8" w:tplc="E5741AB6" w:tentative="1">
      <w:start w:val="1"/>
      <w:numFmt w:val="decimal"/>
      <w:lvlText w:val="%9."/>
      <w:lvlJc w:val="left"/>
      <w:pPr>
        <w:tabs>
          <w:tab w:val="num" w:pos="6480"/>
        </w:tabs>
        <w:ind w:left="6480" w:hanging="360"/>
      </w:pPr>
    </w:lvl>
  </w:abstractNum>
  <w:abstractNum w:abstractNumId="1" w15:restartNumberingAfterBreak="0">
    <w:nsid w:val="06924624"/>
    <w:multiLevelType w:val="hybridMultilevel"/>
    <w:tmpl w:val="DDA6DD7E"/>
    <w:lvl w:ilvl="0" w:tplc="E904C7EE">
      <w:start w:val="1"/>
      <w:numFmt w:val="decimal"/>
      <w:lvlText w:val="%1."/>
      <w:lvlJc w:val="left"/>
      <w:pPr>
        <w:tabs>
          <w:tab w:val="num" w:pos="567"/>
        </w:tabs>
        <w:ind w:left="567" w:hanging="567"/>
      </w:pPr>
      <w:rPr>
        <w:rFonts w:hint="default"/>
        <w:b w:val="0"/>
        <w:sz w:val="24"/>
        <w:szCs w:val="24"/>
      </w:rPr>
    </w:lvl>
    <w:lvl w:ilvl="1" w:tplc="26EA4A12">
      <w:start w:val="1"/>
      <w:numFmt w:val="bullet"/>
      <w:lvlText w:val=""/>
      <w:lvlJc w:val="left"/>
      <w:pPr>
        <w:tabs>
          <w:tab w:val="num" w:pos="864"/>
        </w:tabs>
        <w:ind w:left="864" w:hanging="432"/>
      </w:pPr>
      <w:rPr>
        <w:rFonts w:ascii="Symbol" w:hAnsi="Symbol" w:hint="default"/>
      </w:rPr>
    </w:lvl>
    <w:lvl w:ilvl="2" w:tplc="FAFAF23C">
      <w:start w:val="9"/>
      <w:numFmt w:val="decimal"/>
      <w:lvlText w:val="%3."/>
      <w:lvlJc w:val="left"/>
      <w:pPr>
        <w:tabs>
          <w:tab w:val="num" w:pos="432"/>
        </w:tabs>
        <w:ind w:left="432" w:hanging="432"/>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D5B4C"/>
    <w:multiLevelType w:val="hybridMultilevel"/>
    <w:tmpl w:val="89E6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F60C1"/>
    <w:multiLevelType w:val="hybridMultilevel"/>
    <w:tmpl w:val="44BEBE2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6DA75E53"/>
    <w:multiLevelType w:val="hybridMultilevel"/>
    <w:tmpl w:val="B7969512"/>
    <w:lvl w:ilvl="0" w:tplc="405A0D36">
      <w:start w:val="1"/>
      <w:numFmt w:val="bullet"/>
      <w:lvlText w:val="•"/>
      <w:lvlJc w:val="left"/>
      <w:pPr>
        <w:tabs>
          <w:tab w:val="num" w:pos="720"/>
        </w:tabs>
        <w:ind w:left="720" w:hanging="360"/>
      </w:pPr>
      <w:rPr>
        <w:rFonts w:ascii="Arial" w:hAnsi="Arial" w:hint="default"/>
      </w:rPr>
    </w:lvl>
    <w:lvl w:ilvl="1" w:tplc="368CE7A4" w:tentative="1">
      <w:start w:val="1"/>
      <w:numFmt w:val="bullet"/>
      <w:lvlText w:val="•"/>
      <w:lvlJc w:val="left"/>
      <w:pPr>
        <w:tabs>
          <w:tab w:val="num" w:pos="1440"/>
        </w:tabs>
        <w:ind w:left="1440" w:hanging="360"/>
      </w:pPr>
      <w:rPr>
        <w:rFonts w:ascii="Arial" w:hAnsi="Arial" w:hint="default"/>
      </w:rPr>
    </w:lvl>
    <w:lvl w:ilvl="2" w:tplc="027EFD74" w:tentative="1">
      <w:start w:val="1"/>
      <w:numFmt w:val="bullet"/>
      <w:lvlText w:val="•"/>
      <w:lvlJc w:val="left"/>
      <w:pPr>
        <w:tabs>
          <w:tab w:val="num" w:pos="2160"/>
        </w:tabs>
        <w:ind w:left="2160" w:hanging="360"/>
      </w:pPr>
      <w:rPr>
        <w:rFonts w:ascii="Arial" w:hAnsi="Arial" w:hint="default"/>
      </w:rPr>
    </w:lvl>
    <w:lvl w:ilvl="3" w:tplc="1854A066" w:tentative="1">
      <w:start w:val="1"/>
      <w:numFmt w:val="bullet"/>
      <w:lvlText w:val="•"/>
      <w:lvlJc w:val="left"/>
      <w:pPr>
        <w:tabs>
          <w:tab w:val="num" w:pos="2880"/>
        </w:tabs>
        <w:ind w:left="2880" w:hanging="360"/>
      </w:pPr>
      <w:rPr>
        <w:rFonts w:ascii="Arial" w:hAnsi="Arial" w:hint="default"/>
      </w:rPr>
    </w:lvl>
    <w:lvl w:ilvl="4" w:tplc="095ED13E" w:tentative="1">
      <w:start w:val="1"/>
      <w:numFmt w:val="bullet"/>
      <w:lvlText w:val="•"/>
      <w:lvlJc w:val="left"/>
      <w:pPr>
        <w:tabs>
          <w:tab w:val="num" w:pos="3600"/>
        </w:tabs>
        <w:ind w:left="3600" w:hanging="360"/>
      </w:pPr>
      <w:rPr>
        <w:rFonts w:ascii="Arial" w:hAnsi="Arial" w:hint="default"/>
      </w:rPr>
    </w:lvl>
    <w:lvl w:ilvl="5" w:tplc="C53AC600" w:tentative="1">
      <w:start w:val="1"/>
      <w:numFmt w:val="bullet"/>
      <w:lvlText w:val="•"/>
      <w:lvlJc w:val="left"/>
      <w:pPr>
        <w:tabs>
          <w:tab w:val="num" w:pos="4320"/>
        </w:tabs>
        <w:ind w:left="4320" w:hanging="360"/>
      </w:pPr>
      <w:rPr>
        <w:rFonts w:ascii="Arial" w:hAnsi="Arial" w:hint="default"/>
      </w:rPr>
    </w:lvl>
    <w:lvl w:ilvl="6" w:tplc="6944ADAE" w:tentative="1">
      <w:start w:val="1"/>
      <w:numFmt w:val="bullet"/>
      <w:lvlText w:val="•"/>
      <w:lvlJc w:val="left"/>
      <w:pPr>
        <w:tabs>
          <w:tab w:val="num" w:pos="5040"/>
        </w:tabs>
        <w:ind w:left="5040" w:hanging="360"/>
      </w:pPr>
      <w:rPr>
        <w:rFonts w:ascii="Arial" w:hAnsi="Arial" w:hint="default"/>
      </w:rPr>
    </w:lvl>
    <w:lvl w:ilvl="7" w:tplc="6E341C94" w:tentative="1">
      <w:start w:val="1"/>
      <w:numFmt w:val="bullet"/>
      <w:lvlText w:val="•"/>
      <w:lvlJc w:val="left"/>
      <w:pPr>
        <w:tabs>
          <w:tab w:val="num" w:pos="5760"/>
        </w:tabs>
        <w:ind w:left="5760" w:hanging="360"/>
      </w:pPr>
      <w:rPr>
        <w:rFonts w:ascii="Arial" w:hAnsi="Arial" w:hint="default"/>
      </w:rPr>
    </w:lvl>
    <w:lvl w:ilvl="8" w:tplc="BBE258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523111D"/>
    <w:multiLevelType w:val="hybridMultilevel"/>
    <w:tmpl w:val="87A2EF1C"/>
    <w:lvl w:ilvl="0" w:tplc="C4A0CC3C">
      <w:start w:val="1"/>
      <w:numFmt w:val="bullet"/>
      <w:lvlText w:val="•"/>
      <w:lvlJc w:val="left"/>
      <w:pPr>
        <w:tabs>
          <w:tab w:val="num" w:pos="720"/>
        </w:tabs>
        <w:ind w:left="720" w:hanging="360"/>
      </w:pPr>
      <w:rPr>
        <w:rFonts w:ascii="Arial" w:hAnsi="Arial" w:hint="default"/>
      </w:rPr>
    </w:lvl>
    <w:lvl w:ilvl="1" w:tplc="C6C87DA2" w:tentative="1">
      <w:start w:val="1"/>
      <w:numFmt w:val="bullet"/>
      <w:lvlText w:val="•"/>
      <w:lvlJc w:val="left"/>
      <w:pPr>
        <w:tabs>
          <w:tab w:val="num" w:pos="1440"/>
        </w:tabs>
        <w:ind w:left="1440" w:hanging="360"/>
      </w:pPr>
      <w:rPr>
        <w:rFonts w:ascii="Arial" w:hAnsi="Arial" w:hint="default"/>
      </w:rPr>
    </w:lvl>
    <w:lvl w:ilvl="2" w:tplc="3968B240" w:tentative="1">
      <w:start w:val="1"/>
      <w:numFmt w:val="bullet"/>
      <w:lvlText w:val="•"/>
      <w:lvlJc w:val="left"/>
      <w:pPr>
        <w:tabs>
          <w:tab w:val="num" w:pos="2160"/>
        </w:tabs>
        <w:ind w:left="2160" w:hanging="360"/>
      </w:pPr>
      <w:rPr>
        <w:rFonts w:ascii="Arial" w:hAnsi="Arial" w:hint="default"/>
      </w:rPr>
    </w:lvl>
    <w:lvl w:ilvl="3" w:tplc="DAB63952" w:tentative="1">
      <w:start w:val="1"/>
      <w:numFmt w:val="bullet"/>
      <w:lvlText w:val="•"/>
      <w:lvlJc w:val="left"/>
      <w:pPr>
        <w:tabs>
          <w:tab w:val="num" w:pos="2880"/>
        </w:tabs>
        <w:ind w:left="2880" w:hanging="360"/>
      </w:pPr>
      <w:rPr>
        <w:rFonts w:ascii="Arial" w:hAnsi="Arial" w:hint="default"/>
      </w:rPr>
    </w:lvl>
    <w:lvl w:ilvl="4" w:tplc="79F2DF40" w:tentative="1">
      <w:start w:val="1"/>
      <w:numFmt w:val="bullet"/>
      <w:lvlText w:val="•"/>
      <w:lvlJc w:val="left"/>
      <w:pPr>
        <w:tabs>
          <w:tab w:val="num" w:pos="3600"/>
        </w:tabs>
        <w:ind w:left="3600" w:hanging="360"/>
      </w:pPr>
      <w:rPr>
        <w:rFonts w:ascii="Arial" w:hAnsi="Arial" w:hint="default"/>
      </w:rPr>
    </w:lvl>
    <w:lvl w:ilvl="5" w:tplc="316EB154" w:tentative="1">
      <w:start w:val="1"/>
      <w:numFmt w:val="bullet"/>
      <w:lvlText w:val="•"/>
      <w:lvlJc w:val="left"/>
      <w:pPr>
        <w:tabs>
          <w:tab w:val="num" w:pos="4320"/>
        </w:tabs>
        <w:ind w:left="4320" w:hanging="360"/>
      </w:pPr>
      <w:rPr>
        <w:rFonts w:ascii="Arial" w:hAnsi="Arial" w:hint="default"/>
      </w:rPr>
    </w:lvl>
    <w:lvl w:ilvl="6" w:tplc="7AA0C57A" w:tentative="1">
      <w:start w:val="1"/>
      <w:numFmt w:val="bullet"/>
      <w:lvlText w:val="•"/>
      <w:lvlJc w:val="left"/>
      <w:pPr>
        <w:tabs>
          <w:tab w:val="num" w:pos="5040"/>
        </w:tabs>
        <w:ind w:left="5040" w:hanging="360"/>
      </w:pPr>
      <w:rPr>
        <w:rFonts w:ascii="Arial" w:hAnsi="Arial" w:hint="default"/>
      </w:rPr>
    </w:lvl>
    <w:lvl w:ilvl="7" w:tplc="85A6A780" w:tentative="1">
      <w:start w:val="1"/>
      <w:numFmt w:val="bullet"/>
      <w:lvlText w:val="•"/>
      <w:lvlJc w:val="left"/>
      <w:pPr>
        <w:tabs>
          <w:tab w:val="num" w:pos="5760"/>
        </w:tabs>
        <w:ind w:left="5760" w:hanging="360"/>
      </w:pPr>
      <w:rPr>
        <w:rFonts w:ascii="Arial" w:hAnsi="Arial" w:hint="default"/>
      </w:rPr>
    </w:lvl>
    <w:lvl w:ilvl="8" w:tplc="8730B44A" w:tentative="1">
      <w:start w:val="1"/>
      <w:numFmt w:val="bullet"/>
      <w:lvlText w:val="•"/>
      <w:lvlJc w:val="left"/>
      <w:pPr>
        <w:tabs>
          <w:tab w:val="num" w:pos="6480"/>
        </w:tabs>
        <w:ind w:left="6480" w:hanging="360"/>
      </w:pPr>
      <w:rPr>
        <w:rFonts w:ascii="Arial" w:hAnsi="Arial" w:hint="default"/>
      </w:rPr>
    </w:lvl>
  </w:abstractNum>
  <w:num w:numId="1" w16cid:durableId="59329574">
    <w:abstractNumId w:val="2"/>
  </w:num>
  <w:num w:numId="2" w16cid:durableId="1614551141">
    <w:abstractNumId w:val="1"/>
  </w:num>
  <w:num w:numId="3" w16cid:durableId="1153913290">
    <w:abstractNumId w:val="3"/>
  </w:num>
  <w:num w:numId="4" w16cid:durableId="2094935760">
    <w:abstractNumId w:val="5"/>
  </w:num>
  <w:num w:numId="5" w16cid:durableId="1425615377">
    <w:abstractNumId w:val="4"/>
  </w:num>
  <w:num w:numId="6" w16cid:durableId="51658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0D"/>
    <w:rsid w:val="0001222F"/>
    <w:rsid w:val="0006692D"/>
    <w:rsid w:val="0009794C"/>
    <w:rsid w:val="000C0B05"/>
    <w:rsid w:val="000D6014"/>
    <w:rsid w:val="000F610D"/>
    <w:rsid w:val="001244EE"/>
    <w:rsid w:val="001F539A"/>
    <w:rsid w:val="002F0AE4"/>
    <w:rsid w:val="00312929"/>
    <w:rsid w:val="0031724C"/>
    <w:rsid w:val="00334DA5"/>
    <w:rsid w:val="00363688"/>
    <w:rsid w:val="00374485"/>
    <w:rsid w:val="003B4B15"/>
    <w:rsid w:val="0041272E"/>
    <w:rsid w:val="004602F5"/>
    <w:rsid w:val="00467F47"/>
    <w:rsid w:val="00484AD4"/>
    <w:rsid w:val="00511D80"/>
    <w:rsid w:val="00553EFF"/>
    <w:rsid w:val="00567843"/>
    <w:rsid w:val="00572D97"/>
    <w:rsid w:val="005A5286"/>
    <w:rsid w:val="005C3387"/>
    <w:rsid w:val="006002B6"/>
    <w:rsid w:val="00625296"/>
    <w:rsid w:val="00656A90"/>
    <w:rsid w:val="00671934"/>
    <w:rsid w:val="006B3C03"/>
    <w:rsid w:val="006D302A"/>
    <w:rsid w:val="00754DC4"/>
    <w:rsid w:val="00783329"/>
    <w:rsid w:val="007B4853"/>
    <w:rsid w:val="00815E64"/>
    <w:rsid w:val="00842CF7"/>
    <w:rsid w:val="008522E5"/>
    <w:rsid w:val="008546EF"/>
    <w:rsid w:val="00863C39"/>
    <w:rsid w:val="008D37F5"/>
    <w:rsid w:val="00955CFC"/>
    <w:rsid w:val="009757C0"/>
    <w:rsid w:val="00984BBD"/>
    <w:rsid w:val="00990383"/>
    <w:rsid w:val="009C2FB7"/>
    <w:rsid w:val="009E4892"/>
    <w:rsid w:val="00A305E1"/>
    <w:rsid w:val="00A64F04"/>
    <w:rsid w:val="00A66C5C"/>
    <w:rsid w:val="00AB66D1"/>
    <w:rsid w:val="00AB7F97"/>
    <w:rsid w:val="00AE6FE9"/>
    <w:rsid w:val="00AF1CC9"/>
    <w:rsid w:val="00AF3271"/>
    <w:rsid w:val="00B95B40"/>
    <w:rsid w:val="00BF63CB"/>
    <w:rsid w:val="00C203A4"/>
    <w:rsid w:val="00C25957"/>
    <w:rsid w:val="00C85590"/>
    <w:rsid w:val="00CF7CD9"/>
    <w:rsid w:val="00D1768A"/>
    <w:rsid w:val="00D40244"/>
    <w:rsid w:val="00DE0BA3"/>
    <w:rsid w:val="00E055A5"/>
    <w:rsid w:val="00E53326"/>
    <w:rsid w:val="00E60779"/>
    <w:rsid w:val="00EB0954"/>
    <w:rsid w:val="00EB1755"/>
    <w:rsid w:val="00EB62E6"/>
    <w:rsid w:val="00EC135C"/>
    <w:rsid w:val="00EC57E4"/>
    <w:rsid w:val="00F00E83"/>
    <w:rsid w:val="00F25DE5"/>
    <w:rsid w:val="00F7095A"/>
    <w:rsid w:val="00FA5C36"/>
    <w:rsid w:val="00FA75E2"/>
    <w:rsid w:val="00FB070D"/>
    <w:rsid w:val="00FB08BE"/>
    <w:rsid w:val="00FE6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E057"/>
  <w15:chartTrackingRefBased/>
  <w15:docId w15:val="{CDFDAD96-B608-4620-B147-C62489B1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40"/>
  </w:style>
  <w:style w:type="paragraph" w:styleId="Heading1">
    <w:name w:val="heading 1"/>
    <w:basedOn w:val="Normal"/>
    <w:next w:val="Normal"/>
    <w:link w:val="Heading1Char"/>
    <w:qFormat/>
    <w:rsid w:val="000F610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610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610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610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610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F61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61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61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61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10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610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610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610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F610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F61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61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61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61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6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1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1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610D"/>
    <w:pPr>
      <w:spacing w:before="160"/>
      <w:jc w:val="center"/>
    </w:pPr>
    <w:rPr>
      <w:i/>
      <w:iCs/>
      <w:color w:val="404040" w:themeColor="text1" w:themeTint="BF"/>
    </w:rPr>
  </w:style>
  <w:style w:type="character" w:customStyle="1" w:styleId="QuoteChar">
    <w:name w:val="Quote Char"/>
    <w:basedOn w:val="DefaultParagraphFont"/>
    <w:link w:val="Quote"/>
    <w:uiPriority w:val="29"/>
    <w:rsid w:val="000F610D"/>
    <w:rPr>
      <w:i/>
      <w:iCs/>
      <w:color w:val="404040" w:themeColor="text1" w:themeTint="BF"/>
    </w:rPr>
  </w:style>
  <w:style w:type="paragraph" w:styleId="ListParagraph">
    <w:name w:val="List Paragraph"/>
    <w:basedOn w:val="Normal"/>
    <w:uiPriority w:val="34"/>
    <w:qFormat/>
    <w:rsid w:val="000F610D"/>
    <w:pPr>
      <w:ind w:left="720"/>
      <w:contextualSpacing/>
    </w:pPr>
  </w:style>
  <w:style w:type="character" w:styleId="IntenseEmphasis">
    <w:name w:val="Intense Emphasis"/>
    <w:basedOn w:val="DefaultParagraphFont"/>
    <w:uiPriority w:val="21"/>
    <w:qFormat/>
    <w:rsid w:val="000F610D"/>
    <w:rPr>
      <w:i/>
      <w:iCs/>
      <w:color w:val="2E74B5" w:themeColor="accent1" w:themeShade="BF"/>
    </w:rPr>
  </w:style>
  <w:style w:type="paragraph" w:styleId="IntenseQuote">
    <w:name w:val="Intense Quote"/>
    <w:basedOn w:val="Normal"/>
    <w:next w:val="Normal"/>
    <w:link w:val="IntenseQuoteChar"/>
    <w:uiPriority w:val="30"/>
    <w:qFormat/>
    <w:rsid w:val="000F61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610D"/>
    <w:rPr>
      <w:i/>
      <w:iCs/>
      <w:color w:val="2E74B5" w:themeColor="accent1" w:themeShade="BF"/>
    </w:rPr>
  </w:style>
  <w:style w:type="character" w:styleId="IntenseReference">
    <w:name w:val="Intense Reference"/>
    <w:basedOn w:val="DefaultParagraphFont"/>
    <w:uiPriority w:val="32"/>
    <w:qFormat/>
    <w:rsid w:val="000F610D"/>
    <w:rPr>
      <w:b/>
      <w:bCs/>
      <w:smallCaps/>
      <w:color w:val="2E74B5" w:themeColor="accent1" w:themeShade="BF"/>
      <w:spacing w:val="5"/>
    </w:rPr>
  </w:style>
  <w:style w:type="character" w:styleId="Hyperlink">
    <w:name w:val="Hyperlink"/>
    <w:basedOn w:val="DefaultParagraphFont"/>
    <w:uiPriority w:val="99"/>
    <w:unhideWhenUsed/>
    <w:rsid w:val="00656A90"/>
    <w:rPr>
      <w:color w:val="0563C1" w:themeColor="hyperlink"/>
      <w:u w:val="single"/>
    </w:rPr>
  </w:style>
  <w:style w:type="character" w:styleId="UnresolvedMention">
    <w:name w:val="Unresolved Mention"/>
    <w:basedOn w:val="DefaultParagraphFont"/>
    <w:uiPriority w:val="99"/>
    <w:semiHidden/>
    <w:unhideWhenUsed/>
    <w:rsid w:val="00656A90"/>
    <w:rPr>
      <w:color w:val="605E5C"/>
      <w:shd w:val="clear" w:color="auto" w:fill="E1DFDD"/>
    </w:rPr>
  </w:style>
  <w:style w:type="paragraph" w:styleId="Header">
    <w:name w:val="header"/>
    <w:basedOn w:val="Normal"/>
    <w:link w:val="HeaderChar"/>
    <w:uiPriority w:val="99"/>
    <w:unhideWhenUsed/>
    <w:rsid w:val="00FA7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5E2"/>
  </w:style>
  <w:style w:type="paragraph" w:styleId="Footer">
    <w:name w:val="footer"/>
    <w:basedOn w:val="Normal"/>
    <w:link w:val="FooterChar"/>
    <w:uiPriority w:val="99"/>
    <w:unhideWhenUsed/>
    <w:rsid w:val="00FA7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5E2"/>
  </w:style>
  <w:style w:type="paragraph" w:styleId="BodyTextIndent">
    <w:name w:val="Body Text Indent"/>
    <w:basedOn w:val="Normal"/>
    <w:link w:val="BodyTextIndentChar"/>
    <w:rsid w:val="00CF7CD9"/>
    <w:pPr>
      <w:widowControl w:val="0"/>
      <w:spacing w:after="0" w:line="240" w:lineRule="auto"/>
      <w:ind w:left="720"/>
    </w:pPr>
    <w:rPr>
      <w:rFonts w:eastAsia="Times New Roman" w:cs="Times New Roman"/>
      <w:b/>
      <w:snapToGrid w:val="0"/>
      <w:sz w:val="22"/>
      <w:szCs w:val="20"/>
    </w:rPr>
  </w:style>
  <w:style w:type="character" w:customStyle="1" w:styleId="BodyTextIndentChar">
    <w:name w:val="Body Text Indent Char"/>
    <w:basedOn w:val="DefaultParagraphFont"/>
    <w:link w:val="BodyTextIndent"/>
    <w:rsid w:val="00CF7CD9"/>
    <w:rPr>
      <w:rFonts w:eastAsia="Times New Roman" w:cs="Times New Roman"/>
      <w:b/>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5502">
      <w:bodyDiv w:val="1"/>
      <w:marLeft w:val="0"/>
      <w:marRight w:val="0"/>
      <w:marTop w:val="0"/>
      <w:marBottom w:val="0"/>
      <w:divBdr>
        <w:top w:val="none" w:sz="0" w:space="0" w:color="auto"/>
        <w:left w:val="none" w:sz="0" w:space="0" w:color="auto"/>
        <w:bottom w:val="none" w:sz="0" w:space="0" w:color="auto"/>
        <w:right w:val="none" w:sz="0" w:space="0" w:color="auto"/>
      </w:divBdr>
      <w:divsChild>
        <w:div w:id="1973248836">
          <w:marLeft w:val="547"/>
          <w:marRight w:val="0"/>
          <w:marTop w:val="0"/>
          <w:marBottom w:val="0"/>
          <w:divBdr>
            <w:top w:val="none" w:sz="0" w:space="0" w:color="auto"/>
            <w:left w:val="none" w:sz="0" w:space="0" w:color="auto"/>
            <w:bottom w:val="none" w:sz="0" w:space="0" w:color="auto"/>
            <w:right w:val="none" w:sz="0" w:space="0" w:color="auto"/>
          </w:divBdr>
        </w:div>
        <w:div w:id="1171217053">
          <w:marLeft w:val="547"/>
          <w:marRight w:val="0"/>
          <w:marTop w:val="0"/>
          <w:marBottom w:val="0"/>
          <w:divBdr>
            <w:top w:val="none" w:sz="0" w:space="0" w:color="auto"/>
            <w:left w:val="none" w:sz="0" w:space="0" w:color="auto"/>
            <w:bottom w:val="none" w:sz="0" w:space="0" w:color="auto"/>
            <w:right w:val="none" w:sz="0" w:space="0" w:color="auto"/>
          </w:divBdr>
        </w:div>
        <w:div w:id="258412120">
          <w:marLeft w:val="547"/>
          <w:marRight w:val="0"/>
          <w:marTop w:val="0"/>
          <w:marBottom w:val="0"/>
          <w:divBdr>
            <w:top w:val="none" w:sz="0" w:space="0" w:color="auto"/>
            <w:left w:val="none" w:sz="0" w:space="0" w:color="auto"/>
            <w:bottom w:val="none" w:sz="0" w:space="0" w:color="auto"/>
            <w:right w:val="none" w:sz="0" w:space="0" w:color="auto"/>
          </w:divBdr>
        </w:div>
        <w:div w:id="568923317">
          <w:marLeft w:val="547"/>
          <w:marRight w:val="0"/>
          <w:marTop w:val="0"/>
          <w:marBottom w:val="0"/>
          <w:divBdr>
            <w:top w:val="none" w:sz="0" w:space="0" w:color="auto"/>
            <w:left w:val="none" w:sz="0" w:space="0" w:color="auto"/>
            <w:bottom w:val="none" w:sz="0" w:space="0" w:color="auto"/>
            <w:right w:val="none" w:sz="0" w:space="0" w:color="auto"/>
          </w:divBdr>
        </w:div>
        <w:div w:id="1445077678">
          <w:marLeft w:val="547"/>
          <w:marRight w:val="0"/>
          <w:marTop w:val="0"/>
          <w:marBottom w:val="0"/>
          <w:divBdr>
            <w:top w:val="none" w:sz="0" w:space="0" w:color="auto"/>
            <w:left w:val="none" w:sz="0" w:space="0" w:color="auto"/>
            <w:bottom w:val="none" w:sz="0" w:space="0" w:color="auto"/>
            <w:right w:val="none" w:sz="0" w:space="0" w:color="auto"/>
          </w:divBdr>
        </w:div>
      </w:divsChild>
    </w:div>
    <w:div w:id="538008920">
      <w:bodyDiv w:val="1"/>
      <w:marLeft w:val="0"/>
      <w:marRight w:val="0"/>
      <w:marTop w:val="0"/>
      <w:marBottom w:val="0"/>
      <w:divBdr>
        <w:top w:val="none" w:sz="0" w:space="0" w:color="auto"/>
        <w:left w:val="none" w:sz="0" w:space="0" w:color="auto"/>
        <w:bottom w:val="none" w:sz="0" w:space="0" w:color="auto"/>
        <w:right w:val="none" w:sz="0" w:space="0" w:color="auto"/>
      </w:divBdr>
      <w:divsChild>
        <w:div w:id="1914118756">
          <w:marLeft w:val="446"/>
          <w:marRight w:val="0"/>
          <w:marTop w:val="0"/>
          <w:marBottom w:val="0"/>
          <w:divBdr>
            <w:top w:val="none" w:sz="0" w:space="0" w:color="auto"/>
            <w:left w:val="none" w:sz="0" w:space="0" w:color="auto"/>
            <w:bottom w:val="none" w:sz="0" w:space="0" w:color="auto"/>
            <w:right w:val="none" w:sz="0" w:space="0" w:color="auto"/>
          </w:divBdr>
        </w:div>
        <w:div w:id="1419331811">
          <w:marLeft w:val="446"/>
          <w:marRight w:val="0"/>
          <w:marTop w:val="0"/>
          <w:marBottom w:val="0"/>
          <w:divBdr>
            <w:top w:val="none" w:sz="0" w:space="0" w:color="auto"/>
            <w:left w:val="none" w:sz="0" w:space="0" w:color="auto"/>
            <w:bottom w:val="none" w:sz="0" w:space="0" w:color="auto"/>
            <w:right w:val="none" w:sz="0" w:space="0" w:color="auto"/>
          </w:divBdr>
        </w:div>
        <w:div w:id="754590133">
          <w:marLeft w:val="446"/>
          <w:marRight w:val="0"/>
          <w:marTop w:val="0"/>
          <w:marBottom w:val="0"/>
          <w:divBdr>
            <w:top w:val="none" w:sz="0" w:space="0" w:color="auto"/>
            <w:left w:val="none" w:sz="0" w:space="0" w:color="auto"/>
            <w:bottom w:val="none" w:sz="0" w:space="0" w:color="auto"/>
            <w:right w:val="none" w:sz="0" w:space="0" w:color="auto"/>
          </w:divBdr>
        </w:div>
      </w:divsChild>
    </w:div>
    <w:div w:id="1682004396">
      <w:bodyDiv w:val="1"/>
      <w:marLeft w:val="0"/>
      <w:marRight w:val="0"/>
      <w:marTop w:val="0"/>
      <w:marBottom w:val="0"/>
      <w:divBdr>
        <w:top w:val="none" w:sz="0" w:space="0" w:color="auto"/>
        <w:left w:val="none" w:sz="0" w:space="0" w:color="auto"/>
        <w:bottom w:val="none" w:sz="0" w:space="0" w:color="auto"/>
        <w:right w:val="none" w:sz="0" w:space="0" w:color="auto"/>
      </w:divBdr>
      <w:divsChild>
        <w:div w:id="997490219">
          <w:marLeft w:val="446"/>
          <w:marRight w:val="0"/>
          <w:marTop w:val="0"/>
          <w:marBottom w:val="0"/>
          <w:divBdr>
            <w:top w:val="none" w:sz="0" w:space="0" w:color="auto"/>
            <w:left w:val="none" w:sz="0" w:space="0" w:color="auto"/>
            <w:bottom w:val="none" w:sz="0" w:space="0" w:color="auto"/>
            <w:right w:val="none" w:sz="0" w:space="0" w:color="auto"/>
          </w:divBdr>
        </w:div>
        <w:div w:id="1185316658">
          <w:marLeft w:val="446"/>
          <w:marRight w:val="0"/>
          <w:marTop w:val="0"/>
          <w:marBottom w:val="0"/>
          <w:divBdr>
            <w:top w:val="none" w:sz="0" w:space="0" w:color="auto"/>
            <w:left w:val="none" w:sz="0" w:space="0" w:color="auto"/>
            <w:bottom w:val="none" w:sz="0" w:space="0" w:color="auto"/>
            <w:right w:val="none" w:sz="0" w:space="0" w:color="auto"/>
          </w:divBdr>
        </w:div>
        <w:div w:id="933170491">
          <w:marLeft w:val="446"/>
          <w:marRight w:val="0"/>
          <w:marTop w:val="0"/>
          <w:marBottom w:val="0"/>
          <w:divBdr>
            <w:top w:val="none" w:sz="0" w:space="0" w:color="auto"/>
            <w:left w:val="none" w:sz="0" w:space="0" w:color="auto"/>
            <w:bottom w:val="none" w:sz="0" w:space="0" w:color="auto"/>
            <w:right w:val="none" w:sz="0" w:space="0" w:color="auto"/>
          </w:divBdr>
        </w:div>
        <w:div w:id="657880963">
          <w:marLeft w:val="446"/>
          <w:marRight w:val="0"/>
          <w:marTop w:val="0"/>
          <w:marBottom w:val="0"/>
          <w:divBdr>
            <w:top w:val="none" w:sz="0" w:space="0" w:color="auto"/>
            <w:left w:val="none" w:sz="0" w:space="0" w:color="auto"/>
            <w:bottom w:val="none" w:sz="0" w:space="0" w:color="auto"/>
            <w:right w:val="none" w:sz="0" w:space="0" w:color="auto"/>
          </w:divBdr>
        </w:div>
        <w:div w:id="120875882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capitalprojects@southwark.gov.uk" TargetMode="Externa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yperlink" Target="mailto:schoolcapitalprojects@southwark.gov.uk" TargetMode="External"/><Relationship Id="rId2" Type="http://schemas.openxmlformats.org/officeDocument/2006/relationships/styles" Target="styles.xml"/><Relationship Id="rId16" Type="http://schemas.openxmlformats.org/officeDocument/2006/relationships/hyperlink" Target="mailto:schoolcapitalprojects@southwark.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s://engage.southwark.gov.uk/en-GB/projects/highshore-expansion"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ffice@highshore.southwark.sch.uk"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Crowe\Downloads\data-special-educational-needs-in-england%20(14).od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outhwark-my.sharepoint.com/personal/michael_crowe_southwark_gov_uk/Documents/C&amp;F%20DMT/Continuous%20Improvement%20Programme/SEND%20Improvement%20Programme/Capital%20Planning/sept%2024%20extra%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Crowe\Desktop\Capital%20Planning\Copy%20of%20COLLECT%20Upload%20-%20Capacity%20and%20Forecast%20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outhwark-my.sharepoint.com/personal/michael_crowe_southwark_gov_uk/Documents/C&amp;F%20DMT/Continuous%20Improvement%20Programme/SEND%20Improvement%20Programme/Capital%20Planning/Copy%20of%20SCAP2023_Capacity_DataSummaryReport%20(1)%20(0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Crowe\Desktop\Capital%20Planning\Copy%20of%20SCAP2023_Capacity_DataSummaryReport%20(1)%20(00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'[data-special-educational-needs-in-england (14).ods]Sheet2'!$C$25</c:f>
              <c:strCache>
                <c:ptCount val="1"/>
                <c:pt idx="0">
                  <c:v>england</c:v>
                </c:pt>
              </c:strCache>
            </c:strRef>
          </c:tx>
          <c:spPr>
            <a:solidFill>
              <a:schemeClr val="accent1"/>
            </a:solidFill>
            <a:ln>
              <a:noFill/>
            </a:ln>
            <a:effectLst/>
          </c:spPr>
          <c:invertIfNegative val="0"/>
          <c:cat>
            <c:strRef>
              <c:f>'[data-special-educational-needs-in-england (14).ods]Sheet2'!$B$26:$B$37</c:f>
              <c:strCache>
                <c:ptCount val="12"/>
                <c:pt idx="0">
                  <c:v>Reception (%)</c:v>
                </c:pt>
                <c:pt idx="1">
                  <c:v>Year group 1 (%)</c:v>
                </c:pt>
                <c:pt idx="2">
                  <c:v>Year group 2 (%)</c:v>
                </c:pt>
                <c:pt idx="3">
                  <c:v>Year group 3 (%)</c:v>
                </c:pt>
                <c:pt idx="4">
                  <c:v>Year group 4 (%)</c:v>
                </c:pt>
                <c:pt idx="5">
                  <c:v>Year group 5 (%)</c:v>
                </c:pt>
                <c:pt idx="6">
                  <c:v>Year group 6 (%)</c:v>
                </c:pt>
                <c:pt idx="7">
                  <c:v>Year group 7 (%)</c:v>
                </c:pt>
                <c:pt idx="8">
                  <c:v>Year group 8 (%)</c:v>
                </c:pt>
                <c:pt idx="9">
                  <c:v>Year group 9 (%)</c:v>
                </c:pt>
                <c:pt idx="10">
                  <c:v>Year group 10 (%)</c:v>
                </c:pt>
                <c:pt idx="11">
                  <c:v>Year group 11 (%)</c:v>
                </c:pt>
              </c:strCache>
            </c:strRef>
          </c:cat>
          <c:val>
            <c:numRef>
              <c:f>'[data-special-educational-needs-in-england (14).ods]Sheet2'!$C$26:$C$37</c:f>
              <c:numCache>
                <c:formatCode>General</c:formatCode>
                <c:ptCount val="12"/>
                <c:pt idx="0">
                  <c:v>3.1</c:v>
                </c:pt>
                <c:pt idx="1">
                  <c:v>4.3</c:v>
                </c:pt>
                <c:pt idx="2">
                  <c:v>5.0999999999999996</c:v>
                </c:pt>
                <c:pt idx="3">
                  <c:v>5.8</c:v>
                </c:pt>
                <c:pt idx="4">
                  <c:v>6.1</c:v>
                </c:pt>
                <c:pt idx="5">
                  <c:v>6.5</c:v>
                </c:pt>
                <c:pt idx="6">
                  <c:v>7</c:v>
                </c:pt>
                <c:pt idx="7">
                  <c:v>10.6</c:v>
                </c:pt>
                <c:pt idx="8">
                  <c:v>10.5</c:v>
                </c:pt>
                <c:pt idx="9">
                  <c:v>9.9</c:v>
                </c:pt>
                <c:pt idx="10">
                  <c:v>9.6</c:v>
                </c:pt>
                <c:pt idx="11">
                  <c:v>8.9</c:v>
                </c:pt>
              </c:numCache>
            </c:numRef>
          </c:val>
          <c:extLst>
            <c:ext xmlns:c16="http://schemas.microsoft.com/office/drawing/2014/chart" uri="{C3380CC4-5D6E-409C-BE32-E72D297353CC}">
              <c16:uniqueId val="{00000000-ECEC-4253-96DC-DCD154E4CE17}"/>
            </c:ext>
          </c:extLst>
        </c:ser>
        <c:ser>
          <c:idx val="1"/>
          <c:order val="1"/>
          <c:tx>
            <c:strRef>
              <c:f>'[data-special-educational-needs-in-england (14).ods]Sheet2'!$D$25</c:f>
              <c:strCache>
                <c:ptCount val="1"/>
                <c:pt idx="0">
                  <c:v>London</c:v>
                </c:pt>
              </c:strCache>
            </c:strRef>
          </c:tx>
          <c:spPr>
            <a:solidFill>
              <a:schemeClr val="accent2"/>
            </a:solidFill>
            <a:ln>
              <a:noFill/>
            </a:ln>
            <a:effectLst/>
          </c:spPr>
          <c:invertIfNegative val="0"/>
          <c:cat>
            <c:strRef>
              <c:f>'[data-special-educational-needs-in-england (14).ods]Sheet2'!$B$26:$B$37</c:f>
              <c:strCache>
                <c:ptCount val="12"/>
                <c:pt idx="0">
                  <c:v>Reception (%)</c:v>
                </c:pt>
                <c:pt idx="1">
                  <c:v>Year group 1 (%)</c:v>
                </c:pt>
                <c:pt idx="2">
                  <c:v>Year group 2 (%)</c:v>
                </c:pt>
                <c:pt idx="3">
                  <c:v>Year group 3 (%)</c:v>
                </c:pt>
                <c:pt idx="4">
                  <c:v>Year group 4 (%)</c:v>
                </c:pt>
                <c:pt idx="5">
                  <c:v>Year group 5 (%)</c:v>
                </c:pt>
                <c:pt idx="6">
                  <c:v>Year group 6 (%)</c:v>
                </c:pt>
                <c:pt idx="7">
                  <c:v>Year group 7 (%)</c:v>
                </c:pt>
                <c:pt idx="8">
                  <c:v>Year group 8 (%)</c:v>
                </c:pt>
                <c:pt idx="9">
                  <c:v>Year group 9 (%)</c:v>
                </c:pt>
                <c:pt idx="10">
                  <c:v>Year group 10 (%)</c:v>
                </c:pt>
                <c:pt idx="11">
                  <c:v>Year group 11 (%)</c:v>
                </c:pt>
              </c:strCache>
            </c:strRef>
          </c:cat>
          <c:val>
            <c:numRef>
              <c:f>'[data-special-educational-needs-in-england (14).ods]Sheet2'!$D$26:$D$37</c:f>
              <c:numCache>
                <c:formatCode>General</c:formatCode>
                <c:ptCount val="12"/>
                <c:pt idx="0">
                  <c:v>3.2</c:v>
                </c:pt>
                <c:pt idx="1">
                  <c:v>4.4000000000000004</c:v>
                </c:pt>
                <c:pt idx="2">
                  <c:v>5.5</c:v>
                </c:pt>
                <c:pt idx="3">
                  <c:v>5.9</c:v>
                </c:pt>
                <c:pt idx="4">
                  <c:v>6.1</c:v>
                </c:pt>
                <c:pt idx="5">
                  <c:v>6.1</c:v>
                </c:pt>
                <c:pt idx="6">
                  <c:v>6.4</c:v>
                </c:pt>
                <c:pt idx="7">
                  <c:v>10</c:v>
                </c:pt>
                <c:pt idx="8">
                  <c:v>10.4</c:v>
                </c:pt>
                <c:pt idx="9">
                  <c:v>9.5</c:v>
                </c:pt>
                <c:pt idx="10">
                  <c:v>9</c:v>
                </c:pt>
                <c:pt idx="11">
                  <c:v>9.3000000000000007</c:v>
                </c:pt>
              </c:numCache>
            </c:numRef>
          </c:val>
          <c:extLst>
            <c:ext xmlns:c16="http://schemas.microsoft.com/office/drawing/2014/chart" uri="{C3380CC4-5D6E-409C-BE32-E72D297353CC}">
              <c16:uniqueId val="{00000001-ECEC-4253-96DC-DCD154E4CE17}"/>
            </c:ext>
          </c:extLst>
        </c:ser>
        <c:ser>
          <c:idx val="2"/>
          <c:order val="2"/>
          <c:tx>
            <c:strRef>
              <c:f>'[data-special-educational-needs-in-england (14).ods]Sheet2'!$E$25</c:f>
              <c:strCache>
                <c:ptCount val="1"/>
                <c:pt idx="0">
                  <c:v>southwark</c:v>
                </c:pt>
              </c:strCache>
            </c:strRef>
          </c:tx>
          <c:spPr>
            <a:solidFill>
              <a:schemeClr val="accent3"/>
            </a:solidFill>
            <a:ln>
              <a:noFill/>
            </a:ln>
            <a:effectLst/>
          </c:spPr>
          <c:invertIfNegative val="0"/>
          <c:cat>
            <c:strRef>
              <c:f>'[data-special-educational-needs-in-england (14).ods]Sheet2'!$B$26:$B$37</c:f>
              <c:strCache>
                <c:ptCount val="12"/>
                <c:pt idx="0">
                  <c:v>Reception (%)</c:v>
                </c:pt>
                <c:pt idx="1">
                  <c:v>Year group 1 (%)</c:v>
                </c:pt>
                <c:pt idx="2">
                  <c:v>Year group 2 (%)</c:v>
                </c:pt>
                <c:pt idx="3">
                  <c:v>Year group 3 (%)</c:v>
                </c:pt>
                <c:pt idx="4">
                  <c:v>Year group 4 (%)</c:v>
                </c:pt>
                <c:pt idx="5">
                  <c:v>Year group 5 (%)</c:v>
                </c:pt>
                <c:pt idx="6">
                  <c:v>Year group 6 (%)</c:v>
                </c:pt>
                <c:pt idx="7">
                  <c:v>Year group 7 (%)</c:v>
                </c:pt>
                <c:pt idx="8">
                  <c:v>Year group 8 (%)</c:v>
                </c:pt>
                <c:pt idx="9">
                  <c:v>Year group 9 (%)</c:v>
                </c:pt>
                <c:pt idx="10">
                  <c:v>Year group 10 (%)</c:v>
                </c:pt>
                <c:pt idx="11">
                  <c:v>Year group 11 (%)</c:v>
                </c:pt>
              </c:strCache>
            </c:strRef>
          </c:cat>
          <c:val>
            <c:numRef>
              <c:f>'[data-special-educational-needs-in-england (14).ods]Sheet2'!$E$26:$E$37</c:f>
              <c:numCache>
                <c:formatCode>General</c:formatCode>
                <c:ptCount val="12"/>
                <c:pt idx="0">
                  <c:v>2.6</c:v>
                </c:pt>
                <c:pt idx="1">
                  <c:v>5.2</c:v>
                </c:pt>
                <c:pt idx="2">
                  <c:v>5.6</c:v>
                </c:pt>
                <c:pt idx="3">
                  <c:v>4.5999999999999996</c:v>
                </c:pt>
                <c:pt idx="4">
                  <c:v>6.3</c:v>
                </c:pt>
                <c:pt idx="5">
                  <c:v>5.9</c:v>
                </c:pt>
                <c:pt idx="6">
                  <c:v>3.9</c:v>
                </c:pt>
                <c:pt idx="7">
                  <c:v>10.5</c:v>
                </c:pt>
                <c:pt idx="8">
                  <c:v>9.1999999999999993</c:v>
                </c:pt>
                <c:pt idx="9">
                  <c:v>10.5</c:v>
                </c:pt>
                <c:pt idx="10">
                  <c:v>9.8000000000000007</c:v>
                </c:pt>
                <c:pt idx="11">
                  <c:v>8.5</c:v>
                </c:pt>
              </c:numCache>
            </c:numRef>
          </c:val>
          <c:extLst>
            <c:ext xmlns:c16="http://schemas.microsoft.com/office/drawing/2014/chart" uri="{C3380CC4-5D6E-409C-BE32-E72D297353CC}">
              <c16:uniqueId val="{00000002-ECEC-4253-96DC-DCD154E4CE17}"/>
            </c:ext>
          </c:extLst>
        </c:ser>
        <c:dLbls>
          <c:showLegendKey val="0"/>
          <c:showVal val="0"/>
          <c:showCatName val="0"/>
          <c:showSerName val="0"/>
          <c:showPercent val="0"/>
          <c:showBubbleSize val="0"/>
        </c:dLbls>
        <c:gapWidth val="219"/>
        <c:overlap val="-27"/>
        <c:axId val="428166104"/>
        <c:axId val="428163480"/>
      </c:barChart>
      <c:catAx>
        <c:axId val="428166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163480"/>
        <c:crosses val="autoZero"/>
        <c:auto val="1"/>
        <c:lblAlgn val="ctr"/>
        <c:lblOffset val="100"/>
        <c:noMultiLvlLbl val="0"/>
      </c:catAx>
      <c:valAx>
        <c:axId val="428163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166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'Secondar Place Projections'!$E$11</c:f>
              <c:strCache>
                <c:ptCount val="1"/>
                <c:pt idx="0">
                  <c:v>Low Need</c:v>
                </c:pt>
              </c:strCache>
            </c:strRef>
          </c:tx>
          <c:spPr>
            <a:ln w="28575" cap="rnd">
              <a:solidFill>
                <a:schemeClr val="accent1"/>
              </a:solidFill>
              <a:prstDash val="dash"/>
              <a:round/>
            </a:ln>
            <a:effectLst/>
          </c:spPr>
          <c:marker>
            <c:symbol val="none"/>
          </c:marker>
          <c:cat>
            <c:strRef>
              <c:f>'Secondar Place Projections'!$D$12:$D$18</c:f>
              <c:strCache>
                <c:ptCount val="7"/>
                <c:pt idx="0">
                  <c:v>2024/25</c:v>
                </c:pt>
                <c:pt idx="1">
                  <c:v>2025/26</c:v>
                </c:pt>
                <c:pt idx="2">
                  <c:v>2026/27</c:v>
                </c:pt>
                <c:pt idx="3">
                  <c:v>2027/28</c:v>
                </c:pt>
                <c:pt idx="4">
                  <c:v>2028/29</c:v>
                </c:pt>
                <c:pt idx="5">
                  <c:v>2029/30</c:v>
                </c:pt>
                <c:pt idx="6">
                  <c:v>2030/31</c:v>
                </c:pt>
              </c:strCache>
            </c:strRef>
          </c:cat>
          <c:val>
            <c:numRef>
              <c:f>'Secondar Place Projections'!$E$12:$E$18</c:f>
              <c:numCache>
                <c:formatCode>0</c:formatCode>
                <c:ptCount val="7"/>
                <c:pt idx="0">
                  <c:v>443.6626017428805</c:v>
                </c:pt>
                <c:pt idx="1">
                  <c:v>460.03872343384876</c:v>
                </c:pt>
                <c:pt idx="2">
                  <c:v>457.65320940478011</c:v>
                </c:pt>
                <c:pt idx="3">
                  <c:v>450.05514742939283</c:v>
                </c:pt>
                <c:pt idx="4">
                  <c:v>472.43443273852603</c:v>
                </c:pt>
                <c:pt idx="5">
                  <c:v>507.14153946745523</c:v>
                </c:pt>
                <c:pt idx="6">
                  <c:v>508.31879721686386</c:v>
                </c:pt>
              </c:numCache>
            </c:numRef>
          </c:val>
          <c:smooth val="0"/>
          <c:extLst>
            <c:ext xmlns:c16="http://schemas.microsoft.com/office/drawing/2014/chart" uri="{C3380CC4-5D6E-409C-BE32-E72D297353CC}">
              <c16:uniqueId val="{00000000-BA11-40B1-8A31-4B3A610D864F}"/>
            </c:ext>
          </c:extLst>
        </c:ser>
        <c:ser>
          <c:idx val="1"/>
          <c:order val="1"/>
          <c:tx>
            <c:strRef>
              <c:f>'Secondar Place Projections'!$F$11</c:f>
              <c:strCache>
                <c:ptCount val="1"/>
                <c:pt idx="0">
                  <c:v>High Need</c:v>
                </c:pt>
              </c:strCache>
            </c:strRef>
          </c:tx>
          <c:spPr>
            <a:ln w="28575" cap="rnd">
              <a:solidFill>
                <a:schemeClr val="accent2"/>
              </a:solidFill>
              <a:prstDash val="dash"/>
              <a:round/>
            </a:ln>
            <a:effectLst/>
          </c:spPr>
          <c:marker>
            <c:symbol val="none"/>
          </c:marker>
          <c:cat>
            <c:strRef>
              <c:f>'Secondar Place Projections'!$D$12:$D$18</c:f>
              <c:strCache>
                <c:ptCount val="7"/>
                <c:pt idx="0">
                  <c:v>2024/25</c:v>
                </c:pt>
                <c:pt idx="1">
                  <c:v>2025/26</c:v>
                </c:pt>
                <c:pt idx="2">
                  <c:v>2026/27</c:v>
                </c:pt>
                <c:pt idx="3">
                  <c:v>2027/28</c:v>
                </c:pt>
                <c:pt idx="4">
                  <c:v>2028/29</c:v>
                </c:pt>
                <c:pt idx="5">
                  <c:v>2029/30</c:v>
                </c:pt>
                <c:pt idx="6">
                  <c:v>2030/31</c:v>
                </c:pt>
              </c:strCache>
            </c:strRef>
          </c:cat>
          <c:val>
            <c:numRef>
              <c:f>'Secondar Place Projections'!$F$12:$F$18</c:f>
              <c:numCache>
                <c:formatCode>0</c:formatCode>
                <c:ptCount val="7"/>
                <c:pt idx="0">
                  <c:v>444</c:v>
                </c:pt>
                <c:pt idx="1">
                  <c:v>473.56677180082698</c:v>
                </c:pt>
                <c:pt idx="2">
                  <c:v>491.00379686104009</c:v>
                </c:pt>
                <c:pt idx="3">
                  <c:v>529.31164795077245</c:v>
                </c:pt>
                <c:pt idx="4">
                  <c:v>568.39445716756222</c:v>
                </c:pt>
                <c:pt idx="5">
                  <c:v>598.30126552970557</c:v>
                </c:pt>
                <c:pt idx="6">
                  <c:v>638.39140880207754</c:v>
                </c:pt>
              </c:numCache>
            </c:numRef>
          </c:val>
          <c:smooth val="0"/>
          <c:extLst>
            <c:ext xmlns:c16="http://schemas.microsoft.com/office/drawing/2014/chart" uri="{C3380CC4-5D6E-409C-BE32-E72D297353CC}">
              <c16:uniqueId val="{00000001-BA11-40B1-8A31-4B3A610D864F}"/>
            </c:ext>
          </c:extLst>
        </c:ser>
        <c:ser>
          <c:idx val="2"/>
          <c:order val="2"/>
          <c:tx>
            <c:strRef>
              <c:f>'Secondar Place Projections'!$G$11</c:f>
              <c:strCache>
                <c:ptCount val="1"/>
                <c:pt idx="0">
                  <c:v>Middle</c:v>
                </c:pt>
              </c:strCache>
            </c:strRef>
          </c:tx>
          <c:spPr>
            <a:ln w="28575" cap="rnd">
              <a:solidFill>
                <a:schemeClr val="accent3"/>
              </a:solidFill>
              <a:round/>
            </a:ln>
            <a:effectLst/>
          </c:spPr>
          <c:marker>
            <c:symbol val="none"/>
          </c:marker>
          <c:cat>
            <c:strRef>
              <c:f>'Secondar Place Projections'!$D$12:$D$18</c:f>
              <c:strCache>
                <c:ptCount val="7"/>
                <c:pt idx="0">
                  <c:v>2024/25</c:v>
                </c:pt>
                <c:pt idx="1">
                  <c:v>2025/26</c:v>
                </c:pt>
                <c:pt idx="2">
                  <c:v>2026/27</c:v>
                </c:pt>
                <c:pt idx="3">
                  <c:v>2027/28</c:v>
                </c:pt>
                <c:pt idx="4">
                  <c:v>2028/29</c:v>
                </c:pt>
                <c:pt idx="5">
                  <c:v>2029/30</c:v>
                </c:pt>
                <c:pt idx="6">
                  <c:v>2030/31</c:v>
                </c:pt>
              </c:strCache>
            </c:strRef>
          </c:cat>
          <c:val>
            <c:numRef>
              <c:f>'Secondar Place Projections'!$G$12:$G$18</c:f>
              <c:numCache>
                <c:formatCode>0</c:formatCode>
                <c:ptCount val="7"/>
                <c:pt idx="0">
                  <c:v>443.83130087144025</c:v>
                </c:pt>
                <c:pt idx="1">
                  <c:v>466.8027476173379</c:v>
                </c:pt>
                <c:pt idx="2">
                  <c:v>474.3285031329101</c:v>
                </c:pt>
                <c:pt idx="3">
                  <c:v>489.68339769008264</c:v>
                </c:pt>
                <c:pt idx="4">
                  <c:v>520.41444495304415</c:v>
                </c:pt>
                <c:pt idx="5">
                  <c:v>552.72140249858035</c:v>
                </c:pt>
                <c:pt idx="6">
                  <c:v>573.35510300947067</c:v>
                </c:pt>
              </c:numCache>
            </c:numRef>
          </c:val>
          <c:smooth val="0"/>
          <c:extLst>
            <c:ext xmlns:c16="http://schemas.microsoft.com/office/drawing/2014/chart" uri="{C3380CC4-5D6E-409C-BE32-E72D297353CC}">
              <c16:uniqueId val="{00000002-BA11-40B1-8A31-4B3A610D864F}"/>
            </c:ext>
          </c:extLst>
        </c:ser>
        <c:ser>
          <c:idx val="3"/>
          <c:order val="3"/>
          <c:tx>
            <c:strRef>
              <c:f>'Secondar Place Projections'!$H$11</c:f>
              <c:strCache>
                <c:ptCount val="1"/>
                <c:pt idx="0">
                  <c:v>Local Special Secondary School Capacity</c:v>
                </c:pt>
              </c:strCache>
            </c:strRef>
          </c:tx>
          <c:spPr>
            <a:ln w="28575" cap="rnd">
              <a:solidFill>
                <a:schemeClr val="accent4"/>
              </a:solidFill>
              <a:round/>
            </a:ln>
            <a:effectLst/>
          </c:spPr>
          <c:marker>
            <c:symbol val="none"/>
          </c:marker>
          <c:cat>
            <c:strRef>
              <c:f>'Secondar Place Projections'!$D$12:$D$18</c:f>
              <c:strCache>
                <c:ptCount val="7"/>
                <c:pt idx="0">
                  <c:v>2024/25</c:v>
                </c:pt>
                <c:pt idx="1">
                  <c:v>2025/26</c:v>
                </c:pt>
                <c:pt idx="2">
                  <c:v>2026/27</c:v>
                </c:pt>
                <c:pt idx="3">
                  <c:v>2027/28</c:v>
                </c:pt>
                <c:pt idx="4">
                  <c:v>2028/29</c:v>
                </c:pt>
                <c:pt idx="5">
                  <c:v>2029/30</c:v>
                </c:pt>
                <c:pt idx="6">
                  <c:v>2030/31</c:v>
                </c:pt>
              </c:strCache>
            </c:strRef>
          </c:cat>
          <c:val>
            <c:numRef>
              <c:f>'Secondar Place Projections'!$H$12:$H$18</c:f>
              <c:numCache>
                <c:formatCode>General</c:formatCode>
                <c:ptCount val="7"/>
                <c:pt idx="0">
                  <c:v>364</c:v>
                </c:pt>
                <c:pt idx="1">
                  <c:v>364</c:v>
                </c:pt>
                <c:pt idx="2">
                  <c:v>364</c:v>
                </c:pt>
                <c:pt idx="3">
                  <c:v>364</c:v>
                </c:pt>
                <c:pt idx="4">
                  <c:v>364</c:v>
                </c:pt>
                <c:pt idx="5">
                  <c:v>364</c:v>
                </c:pt>
                <c:pt idx="6">
                  <c:v>364</c:v>
                </c:pt>
              </c:numCache>
            </c:numRef>
          </c:val>
          <c:smooth val="0"/>
          <c:extLst>
            <c:ext xmlns:c16="http://schemas.microsoft.com/office/drawing/2014/chart" uri="{C3380CC4-5D6E-409C-BE32-E72D297353CC}">
              <c16:uniqueId val="{00000003-BA11-40B1-8A31-4B3A610D864F}"/>
            </c:ext>
          </c:extLst>
        </c:ser>
        <c:dLbls>
          <c:showLegendKey val="0"/>
          <c:showVal val="0"/>
          <c:showCatName val="0"/>
          <c:showSerName val="0"/>
          <c:showPercent val="0"/>
          <c:showBubbleSize val="0"/>
        </c:dLbls>
        <c:smooth val="0"/>
        <c:axId val="676665096"/>
        <c:axId val="676657880"/>
      </c:lineChart>
      <c:catAx>
        <c:axId val="676665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676657880"/>
        <c:crosses val="autoZero"/>
        <c:auto val="1"/>
        <c:lblAlgn val="ctr"/>
        <c:lblOffset val="100"/>
        <c:noMultiLvlLbl val="0"/>
      </c:catAx>
      <c:valAx>
        <c:axId val="676657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676665096"/>
        <c:crosses val="autoZero"/>
        <c:crossBetween val="between"/>
      </c:valAx>
      <c:spPr>
        <a:noFill/>
        <a:ln>
          <a:noFill/>
        </a:ln>
        <a:effectLst/>
      </c:spPr>
    </c:plotArea>
    <c:legend>
      <c:legendPos val="b"/>
      <c:layout>
        <c:manualLayout>
          <c:xMode val="edge"/>
          <c:yMode val="edge"/>
          <c:x val="4.7767022340456516E-2"/>
          <c:y val="0.86855432417194822"/>
          <c:w val="0.9291268677728477"/>
          <c:h val="0.131445675828051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'FORECAST - Secondary'!$I$15</c:f>
              <c:strCache>
                <c:ptCount val="1"/>
                <c:pt idx="0">
                  <c:v>Special</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'FORECAST - Secondary'!$H$16:$H$22</c:f>
              <c:strCache>
                <c:ptCount val="7"/>
                <c:pt idx="0">
                  <c:v>2023/24</c:v>
                </c:pt>
                <c:pt idx="1">
                  <c:v>2027/25</c:v>
                </c:pt>
                <c:pt idx="2">
                  <c:v>2025/26</c:v>
                </c:pt>
                <c:pt idx="3">
                  <c:v>2026/27</c:v>
                </c:pt>
                <c:pt idx="4">
                  <c:v>2027/28</c:v>
                </c:pt>
                <c:pt idx="5">
                  <c:v>2028/29</c:v>
                </c:pt>
                <c:pt idx="6">
                  <c:v>2029/30</c:v>
                </c:pt>
              </c:strCache>
            </c:strRef>
          </c:cat>
          <c:val>
            <c:numRef>
              <c:f>'FORECAST - Secondary'!$I$16:$I$22</c:f>
              <c:numCache>
                <c:formatCode>0</c:formatCode>
                <c:ptCount val="7"/>
                <c:pt idx="0">
                  <c:v>330.14329754106365</c:v>
                </c:pt>
                <c:pt idx="1">
                  <c:v>342.32928480875597</c:v>
                </c:pt>
                <c:pt idx="2">
                  <c:v>340.55414878243027</c:v>
                </c:pt>
                <c:pt idx="3">
                  <c:v>334.90019186647305</c:v>
                </c:pt>
                <c:pt idx="4">
                  <c:v>351.55332201434919</c:v>
                </c:pt>
                <c:pt idx="5">
                  <c:v>377.37997185723782</c:v>
                </c:pt>
                <c:pt idx="6">
                  <c:v>378.25600637968506</c:v>
                </c:pt>
              </c:numCache>
            </c:numRef>
          </c:val>
          <c:smooth val="0"/>
          <c:extLst>
            <c:ext xmlns:c16="http://schemas.microsoft.com/office/drawing/2014/chart" uri="{C3380CC4-5D6E-409C-BE32-E72D297353CC}">
              <c16:uniqueId val="{00000000-92B1-4E7D-B509-1232C1D1FB2C}"/>
            </c:ext>
          </c:extLst>
        </c:ser>
        <c:ser>
          <c:idx val="1"/>
          <c:order val="1"/>
          <c:tx>
            <c:strRef>
              <c:f>'FORECAST - Secondary'!$J$15</c:f>
              <c:strCache>
                <c:ptCount val="1"/>
                <c:pt idx="0">
                  <c:v>Independent</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'FORECAST - Secondary'!$H$16:$H$22</c:f>
              <c:strCache>
                <c:ptCount val="7"/>
                <c:pt idx="0">
                  <c:v>2023/24</c:v>
                </c:pt>
                <c:pt idx="1">
                  <c:v>2027/25</c:v>
                </c:pt>
                <c:pt idx="2">
                  <c:v>2025/26</c:v>
                </c:pt>
                <c:pt idx="3">
                  <c:v>2026/27</c:v>
                </c:pt>
                <c:pt idx="4">
                  <c:v>2027/28</c:v>
                </c:pt>
                <c:pt idx="5">
                  <c:v>2028/29</c:v>
                </c:pt>
                <c:pt idx="6">
                  <c:v>2029/30</c:v>
                </c:pt>
              </c:strCache>
            </c:strRef>
          </c:cat>
          <c:val>
            <c:numRef>
              <c:f>'FORECAST - Secondary'!$J$16:$J$22</c:f>
              <c:numCache>
                <c:formatCode>0</c:formatCode>
                <c:ptCount val="7"/>
                <c:pt idx="0">
                  <c:v>113.51930420181682</c:v>
                </c:pt>
                <c:pt idx="1">
                  <c:v>117.70943862509276</c:v>
                </c:pt>
                <c:pt idx="2">
                  <c:v>117.09906062234984</c:v>
                </c:pt>
                <c:pt idx="3">
                  <c:v>115.15495556291975</c:v>
                </c:pt>
                <c:pt idx="4">
                  <c:v>120.88111072417685</c:v>
                </c:pt>
                <c:pt idx="5">
                  <c:v>129.76156761021741</c:v>
                </c:pt>
                <c:pt idx="6">
                  <c:v>130.0627908371788</c:v>
                </c:pt>
              </c:numCache>
            </c:numRef>
          </c:val>
          <c:smooth val="0"/>
          <c:extLst>
            <c:ext xmlns:c16="http://schemas.microsoft.com/office/drawing/2014/chart" uri="{C3380CC4-5D6E-409C-BE32-E72D297353CC}">
              <c16:uniqueId val="{00000001-92B1-4E7D-B509-1232C1D1FB2C}"/>
            </c:ext>
          </c:extLst>
        </c:ser>
        <c:ser>
          <c:idx val="2"/>
          <c:order val="2"/>
          <c:tx>
            <c:strRef>
              <c:f>'FORECAST - Secondary'!$K$15</c:f>
              <c:strCache>
                <c:ptCount val="1"/>
                <c:pt idx="0">
                  <c:v>Total</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'FORECAST - Secondary'!$H$16:$H$22</c:f>
              <c:strCache>
                <c:ptCount val="7"/>
                <c:pt idx="0">
                  <c:v>2023/24</c:v>
                </c:pt>
                <c:pt idx="1">
                  <c:v>2027/25</c:v>
                </c:pt>
                <c:pt idx="2">
                  <c:v>2025/26</c:v>
                </c:pt>
                <c:pt idx="3">
                  <c:v>2026/27</c:v>
                </c:pt>
                <c:pt idx="4">
                  <c:v>2027/28</c:v>
                </c:pt>
                <c:pt idx="5">
                  <c:v>2028/29</c:v>
                </c:pt>
                <c:pt idx="6">
                  <c:v>2029/30</c:v>
                </c:pt>
              </c:strCache>
            </c:strRef>
          </c:cat>
          <c:val>
            <c:numRef>
              <c:f>'FORECAST - Secondary'!$K$16:$K$22</c:f>
              <c:numCache>
                <c:formatCode>0</c:formatCode>
                <c:ptCount val="7"/>
                <c:pt idx="0">
                  <c:v>443.6626017428805</c:v>
                </c:pt>
                <c:pt idx="1">
                  <c:v>460.03872343384876</c:v>
                </c:pt>
                <c:pt idx="2">
                  <c:v>457.65320940478011</c:v>
                </c:pt>
                <c:pt idx="3">
                  <c:v>450.05514742939283</c:v>
                </c:pt>
                <c:pt idx="4">
                  <c:v>472.43443273852603</c:v>
                </c:pt>
                <c:pt idx="5">
                  <c:v>507.14153946745523</c:v>
                </c:pt>
                <c:pt idx="6">
                  <c:v>508.31879721686386</c:v>
                </c:pt>
              </c:numCache>
            </c:numRef>
          </c:val>
          <c:smooth val="0"/>
          <c:extLst>
            <c:ext xmlns:c16="http://schemas.microsoft.com/office/drawing/2014/chart" uri="{C3380CC4-5D6E-409C-BE32-E72D297353CC}">
              <c16:uniqueId val="{00000002-92B1-4E7D-B509-1232C1D1FB2C}"/>
            </c:ext>
          </c:extLst>
        </c:ser>
        <c:dLbls>
          <c:dLblPos val="t"/>
          <c:showLegendKey val="0"/>
          <c:showVal val="1"/>
          <c:showCatName val="0"/>
          <c:showSerName val="0"/>
          <c:showPercent val="0"/>
          <c:showBubbleSize val="0"/>
        </c:dLbls>
        <c:smooth val="0"/>
        <c:axId val="569339216"/>
        <c:axId val="569343152"/>
      </c:lineChart>
      <c:catAx>
        <c:axId val="56933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343152"/>
        <c:crosses val="autoZero"/>
        <c:auto val="1"/>
        <c:lblAlgn val="ctr"/>
        <c:lblOffset val="100"/>
        <c:noMultiLvlLbl val="0"/>
      </c:catAx>
      <c:valAx>
        <c:axId val="569343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33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'FORECAST - Secondary'!$K$15</c:f>
              <c:strCache>
                <c:ptCount val="1"/>
                <c:pt idx="0">
                  <c:v>Forecast Total</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'FORECAST - Secondary'!$H$16:$H$22</c:f>
              <c:strCache>
                <c:ptCount val="7"/>
                <c:pt idx="0">
                  <c:v>2024/25</c:v>
                </c:pt>
                <c:pt idx="1">
                  <c:v>2025/26</c:v>
                </c:pt>
                <c:pt idx="2">
                  <c:v>2026/27</c:v>
                </c:pt>
                <c:pt idx="3">
                  <c:v>2027/28</c:v>
                </c:pt>
                <c:pt idx="4">
                  <c:v>2028/29</c:v>
                </c:pt>
                <c:pt idx="5">
                  <c:v>2029/30</c:v>
                </c:pt>
                <c:pt idx="6">
                  <c:v>2030/31</c:v>
                </c:pt>
              </c:strCache>
            </c:strRef>
          </c:cat>
          <c:val>
            <c:numRef>
              <c:f>'FORECAST - Secondary'!$K$16:$K$22</c:f>
              <c:numCache>
                <c:formatCode>0</c:formatCode>
                <c:ptCount val="7"/>
                <c:pt idx="0">
                  <c:v>443.6626017428805</c:v>
                </c:pt>
                <c:pt idx="1">
                  <c:v>460.03872343384876</c:v>
                </c:pt>
                <c:pt idx="2">
                  <c:v>457.65320940478011</c:v>
                </c:pt>
                <c:pt idx="3">
                  <c:v>450.05514742939283</c:v>
                </c:pt>
                <c:pt idx="4">
                  <c:v>472.43443273852603</c:v>
                </c:pt>
                <c:pt idx="5">
                  <c:v>507.14153946745523</c:v>
                </c:pt>
                <c:pt idx="6">
                  <c:v>508.31879721686386</c:v>
                </c:pt>
              </c:numCache>
            </c:numRef>
          </c:val>
          <c:smooth val="0"/>
          <c:extLst>
            <c:ext xmlns:c16="http://schemas.microsoft.com/office/drawing/2014/chart" uri="{C3380CC4-5D6E-409C-BE32-E72D297353CC}">
              <c16:uniqueId val="{00000000-5A0B-4B86-98DA-43FC12CA849B}"/>
            </c:ext>
          </c:extLst>
        </c:ser>
        <c:ser>
          <c:idx val="3"/>
          <c:order val="1"/>
          <c:tx>
            <c:strRef>
              <c:f>'FORECAST - Secondary'!$L$15</c:f>
              <c:strCache>
                <c:ptCount val="1"/>
                <c:pt idx="0">
                  <c:v>Capacity</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'FORECAST - Secondary'!$H$16:$H$22</c:f>
              <c:strCache>
                <c:ptCount val="7"/>
                <c:pt idx="0">
                  <c:v>2024/25</c:v>
                </c:pt>
                <c:pt idx="1">
                  <c:v>2025/26</c:v>
                </c:pt>
                <c:pt idx="2">
                  <c:v>2026/27</c:v>
                </c:pt>
                <c:pt idx="3">
                  <c:v>2027/28</c:v>
                </c:pt>
                <c:pt idx="4">
                  <c:v>2028/29</c:v>
                </c:pt>
                <c:pt idx="5">
                  <c:v>2029/30</c:v>
                </c:pt>
                <c:pt idx="6">
                  <c:v>2030/31</c:v>
                </c:pt>
              </c:strCache>
            </c:strRef>
          </c:cat>
          <c:val>
            <c:numRef>
              <c:f>'FORECAST - Secondary'!$L$16:$L$22</c:f>
              <c:numCache>
                <c:formatCode>General</c:formatCode>
                <c:ptCount val="7"/>
                <c:pt idx="0">
                  <c:v>364</c:v>
                </c:pt>
                <c:pt idx="1">
                  <c:v>364</c:v>
                </c:pt>
                <c:pt idx="2">
                  <c:v>364</c:v>
                </c:pt>
                <c:pt idx="3">
                  <c:v>364</c:v>
                </c:pt>
                <c:pt idx="4">
                  <c:v>364</c:v>
                </c:pt>
                <c:pt idx="5">
                  <c:v>364</c:v>
                </c:pt>
                <c:pt idx="6">
                  <c:v>364</c:v>
                </c:pt>
              </c:numCache>
            </c:numRef>
          </c:val>
          <c:smooth val="0"/>
          <c:extLst>
            <c:ext xmlns:c16="http://schemas.microsoft.com/office/drawing/2014/chart" uri="{C3380CC4-5D6E-409C-BE32-E72D297353CC}">
              <c16:uniqueId val="{00000001-5A0B-4B86-98DA-43FC12CA849B}"/>
            </c:ext>
          </c:extLst>
        </c:ser>
        <c:ser>
          <c:idx val="4"/>
          <c:order val="2"/>
          <c:tx>
            <c:strRef>
              <c:f>'FORECAST - Secondary'!$M$15</c:f>
              <c:strCache>
                <c:ptCount val="1"/>
                <c:pt idx="0">
                  <c:v>Pupils on Roll </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'FORECAST - Secondary'!$H$16:$H$22</c:f>
              <c:strCache>
                <c:ptCount val="7"/>
                <c:pt idx="0">
                  <c:v>2024/25</c:v>
                </c:pt>
                <c:pt idx="1">
                  <c:v>2025/26</c:v>
                </c:pt>
                <c:pt idx="2">
                  <c:v>2026/27</c:v>
                </c:pt>
                <c:pt idx="3">
                  <c:v>2027/28</c:v>
                </c:pt>
                <c:pt idx="4">
                  <c:v>2028/29</c:v>
                </c:pt>
                <c:pt idx="5">
                  <c:v>2029/30</c:v>
                </c:pt>
                <c:pt idx="6">
                  <c:v>2030/31</c:v>
                </c:pt>
              </c:strCache>
            </c:strRef>
          </c:cat>
          <c:val>
            <c:numRef>
              <c:f>'FORECAST - Secondary'!$M$16:$M$22</c:f>
              <c:numCache>
                <c:formatCode>General</c:formatCode>
                <c:ptCount val="7"/>
                <c:pt idx="0">
                  <c:v>350</c:v>
                </c:pt>
                <c:pt idx="1">
                  <c:v>350</c:v>
                </c:pt>
                <c:pt idx="2">
                  <c:v>350</c:v>
                </c:pt>
                <c:pt idx="3">
                  <c:v>350</c:v>
                </c:pt>
                <c:pt idx="4">
                  <c:v>350</c:v>
                </c:pt>
                <c:pt idx="5">
                  <c:v>350</c:v>
                </c:pt>
                <c:pt idx="6">
                  <c:v>350</c:v>
                </c:pt>
              </c:numCache>
            </c:numRef>
          </c:val>
          <c:smooth val="0"/>
          <c:extLst>
            <c:ext xmlns:c16="http://schemas.microsoft.com/office/drawing/2014/chart" uri="{C3380CC4-5D6E-409C-BE32-E72D297353CC}">
              <c16:uniqueId val="{00000002-5A0B-4B86-98DA-43FC12CA849B}"/>
            </c:ext>
          </c:extLst>
        </c:ser>
        <c:dLbls>
          <c:dLblPos val="t"/>
          <c:showLegendKey val="0"/>
          <c:showVal val="1"/>
          <c:showCatName val="0"/>
          <c:showSerName val="0"/>
          <c:showPercent val="0"/>
          <c:showBubbleSize val="0"/>
        </c:dLbls>
        <c:smooth val="0"/>
        <c:axId val="569339216"/>
        <c:axId val="569343152"/>
      </c:lineChart>
      <c:catAx>
        <c:axId val="56933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343152"/>
        <c:crosses val="autoZero"/>
        <c:auto val="1"/>
        <c:lblAlgn val="ctr"/>
        <c:lblOffset val="100"/>
        <c:noMultiLvlLbl val="0"/>
      </c:catAx>
      <c:valAx>
        <c:axId val="569343152"/>
        <c:scaling>
          <c:orientation val="minMax"/>
          <c:min val="2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33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Sheet1!$H$34</c:f>
              <c:strCache>
                <c:ptCount val="1"/>
                <c:pt idx="0">
                  <c:v>NOR As at
Sept 23 (inc. 6th Form)</c:v>
                </c:pt>
              </c:strCache>
            </c:strRef>
          </c:tx>
          <c:spPr>
            <a:solidFill>
              <a:schemeClr val="accent1"/>
            </a:solidFill>
            <a:ln>
              <a:noFill/>
            </a:ln>
            <a:effectLst/>
          </c:spPr>
          <c:invertIfNegative val="0"/>
          <c:cat>
            <c:strRef>
              <c:f>Sheet1!$G$35:$G$39</c:f>
              <c:strCache>
                <c:ptCount val="5"/>
                <c:pt idx="0">
                  <c:v>Spa School Camberwell (Sec)</c:v>
                </c:pt>
                <c:pt idx="1">
                  <c:v>Highshore School</c:v>
                </c:pt>
                <c:pt idx="2">
                  <c:v>Spa School, Bermondsey</c:v>
                </c:pt>
                <c:pt idx="3">
                  <c:v>Newlands Academy</c:v>
                </c:pt>
                <c:pt idx="4">
                  <c:v>Tuke School</c:v>
                </c:pt>
              </c:strCache>
            </c:strRef>
          </c:cat>
          <c:val>
            <c:numRef>
              <c:f>Sheet1!$H$35:$H$39</c:f>
              <c:numCache>
                <c:formatCode>General</c:formatCode>
                <c:ptCount val="5"/>
                <c:pt idx="0">
                  <c:v>46</c:v>
                </c:pt>
                <c:pt idx="1">
                  <c:v>156</c:v>
                </c:pt>
                <c:pt idx="2">
                  <c:v>113</c:v>
                </c:pt>
                <c:pt idx="3">
                  <c:v>72</c:v>
                </c:pt>
                <c:pt idx="4">
                  <c:v>101</c:v>
                </c:pt>
              </c:numCache>
            </c:numRef>
          </c:val>
          <c:extLst>
            <c:ext xmlns:c16="http://schemas.microsoft.com/office/drawing/2014/chart" uri="{C3380CC4-5D6E-409C-BE32-E72D297353CC}">
              <c16:uniqueId val="{00000000-A6E4-4505-8EC0-AF58A39FA6B7}"/>
            </c:ext>
          </c:extLst>
        </c:ser>
        <c:ser>
          <c:idx val="1"/>
          <c:order val="1"/>
          <c:tx>
            <c:strRef>
              <c:f>Sheet1!$I$34</c:f>
              <c:strCache>
                <c:ptCount val="1"/>
                <c:pt idx="0">
                  <c:v>Total Capacity (inc. 6th Form)</c:v>
                </c:pt>
              </c:strCache>
            </c:strRef>
          </c:tx>
          <c:spPr>
            <a:solidFill>
              <a:schemeClr val="accent2"/>
            </a:solidFill>
            <a:ln>
              <a:noFill/>
            </a:ln>
            <a:effectLst/>
          </c:spPr>
          <c:invertIfNegative val="0"/>
          <c:cat>
            <c:strRef>
              <c:f>Sheet1!$G$35:$G$39</c:f>
              <c:strCache>
                <c:ptCount val="5"/>
                <c:pt idx="0">
                  <c:v>Spa School Camberwell (Sec)</c:v>
                </c:pt>
                <c:pt idx="1">
                  <c:v>Highshore School</c:v>
                </c:pt>
                <c:pt idx="2">
                  <c:v>Spa School, Bermondsey</c:v>
                </c:pt>
                <c:pt idx="3">
                  <c:v>Newlands Academy</c:v>
                </c:pt>
                <c:pt idx="4">
                  <c:v>Tuke School</c:v>
                </c:pt>
              </c:strCache>
            </c:strRef>
          </c:cat>
          <c:val>
            <c:numRef>
              <c:f>Sheet1!$I$35:$I$39</c:f>
              <c:numCache>
                <c:formatCode>General</c:formatCode>
                <c:ptCount val="5"/>
                <c:pt idx="0">
                  <c:v>38</c:v>
                </c:pt>
                <c:pt idx="1">
                  <c:v>153</c:v>
                </c:pt>
                <c:pt idx="2">
                  <c:v>100</c:v>
                </c:pt>
                <c:pt idx="3">
                  <c:v>75</c:v>
                </c:pt>
                <c:pt idx="4">
                  <c:v>90</c:v>
                </c:pt>
              </c:numCache>
            </c:numRef>
          </c:val>
          <c:extLst>
            <c:ext xmlns:c16="http://schemas.microsoft.com/office/drawing/2014/chart" uri="{C3380CC4-5D6E-409C-BE32-E72D297353CC}">
              <c16:uniqueId val="{00000001-A6E4-4505-8EC0-AF58A39FA6B7}"/>
            </c:ext>
          </c:extLst>
        </c:ser>
        <c:dLbls>
          <c:showLegendKey val="0"/>
          <c:showVal val="0"/>
          <c:showCatName val="0"/>
          <c:showSerName val="0"/>
          <c:showPercent val="0"/>
          <c:showBubbleSize val="0"/>
        </c:dLbls>
        <c:gapWidth val="219"/>
        <c:overlap val="-27"/>
        <c:axId val="423433736"/>
        <c:axId val="423437672"/>
      </c:barChart>
      <c:catAx>
        <c:axId val="423433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437672"/>
        <c:crosses val="autoZero"/>
        <c:auto val="1"/>
        <c:lblAlgn val="ctr"/>
        <c:lblOffset val="100"/>
        <c:noMultiLvlLbl val="0"/>
      </c:catAx>
      <c:valAx>
        <c:axId val="423437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433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London Borough of Southwark</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Michael</dc:creator>
  <cp:keywords/>
  <dc:description/>
  <cp:lastModifiedBy>Crowe, Michael</cp:lastModifiedBy>
  <cp:revision>56</cp:revision>
  <dcterms:created xsi:type="dcterms:W3CDTF">2025-03-27T16:32:00Z</dcterms:created>
  <dcterms:modified xsi:type="dcterms:W3CDTF">2025-04-03T08:32:00Z</dcterms:modified>
</cp:coreProperties>
</file>